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318DD">
        <w:rPr>
          <w:rFonts w:cs="Arial"/>
          <w:bCs/>
          <w:sz w:val="28"/>
        </w:rPr>
        <w:t>#95</w:t>
      </w:r>
      <w:r w:rsidR="00EB5B01">
        <w:rPr>
          <w:rFonts w:cs="Arial"/>
          <w:bCs/>
          <w:sz w:val="28"/>
        </w:rPr>
        <w:t xml:space="preserve"> </w:t>
      </w:r>
      <w:r w:rsidR="005203DE">
        <w:rPr>
          <w:rFonts w:cs="Arial" w:hint="eastAsia"/>
          <w:bCs/>
          <w:sz w:val="28"/>
          <w:szCs w:val="24"/>
          <w:lang w:val="en-US" w:eastAsia="zh-TW"/>
        </w:rPr>
        <w:tab/>
      </w:r>
      <w:r w:rsidR="001318DD">
        <w:rPr>
          <w:rFonts w:cs="Arial"/>
          <w:bCs/>
          <w:sz w:val="28"/>
          <w:szCs w:val="24"/>
          <w:lang w:val="en-US" w:eastAsia="zh-TW"/>
        </w:rPr>
        <w:t xml:space="preserve"> </w:t>
      </w:r>
      <w:r w:rsidR="00CD0796" w:rsidRPr="00CD0796">
        <w:rPr>
          <w:rFonts w:eastAsia="MS Mincho" w:cs="Arial"/>
          <w:bCs/>
          <w:sz w:val="28"/>
          <w:szCs w:val="24"/>
          <w:lang w:val="en-US"/>
        </w:rPr>
        <w:t>R1-</w:t>
      </w:r>
      <w:r w:rsidR="00D40FFA" w:rsidRPr="00D40FFA">
        <w:rPr>
          <w:rFonts w:eastAsia="MS Mincho" w:cs="Arial"/>
          <w:bCs/>
          <w:sz w:val="28"/>
          <w:szCs w:val="24"/>
          <w:lang w:val="en-US"/>
        </w:rPr>
        <w:t>1812377</w:t>
      </w:r>
    </w:p>
    <w:p w:rsidR="006517D0" w:rsidRPr="00CD0F35" w:rsidRDefault="00067843" w:rsidP="006517D0">
      <w:pPr>
        <w:pStyle w:val="Header"/>
        <w:tabs>
          <w:tab w:val="center" w:pos="4536"/>
          <w:tab w:val="right" w:pos="8280"/>
          <w:tab w:val="right" w:pos="9781"/>
        </w:tabs>
        <w:spacing w:after="240"/>
        <w:ind w:right="-58"/>
        <w:rPr>
          <w:rFonts w:cs="Arial"/>
          <w:bCs/>
          <w:sz w:val="28"/>
          <w:szCs w:val="28"/>
          <w:lang w:eastAsia="zh-TW"/>
        </w:rPr>
      </w:pPr>
      <w:hyperlink r:id="rId13" w:tgtFrame="_blank" w:history="1">
        <w:r w:rsidR="001318DD" w:rsidRPr="001318DD">
          <w:rPr>
            <w:rFonts w:cs="Arial"/>
            <w:bCs/>
            <w:sz w:val="28"/>
            <w:szCs w:val="28"/>
            <w:lang w:eastAsia="zh-TW"/>
          </w:rPr>
          <w:t>Spokane, USA, November</w:t>
        </w:r>
        <w:r w:rsidR="00CD0F35" w:rsidRPr="00CD0F35">
          <w:rPr>
            <w:rFonts w:cs="Arial"/>
            <w:bCs/>
            <w:sz w:val="28"/>
            <w:szCs w:val="28"/>
            <w:lang w:eastAsia="zh-TW"/>
          </w:rPr>
          <w:t xml:space="preserve"> </w:t>
        </w:r>
        <w:r w:rsidR="001318DD">
          <w:rPr>
            <w:rFonts w:cs="Arial"/>
            <w:bCs/>
            <w:sz w:val="28"/>
            <w:szCs w:val="28"/>
            <w:lang w:eastAsia="zh-TW"/>
          </w:rPr>
          <w:t>12</w:t>
        </w:r>
        <w:r w:rsidR="00CD0F35" w:rsidRPr="00CD0F35">
          <w:rPr>
            <w:rFonts w:cs="Arial"/>
            <w:bCs/>
            <w:sz w:val="28"/>
            <w:szCs w:val="28"/>
            <w:vertAlign w:val="superscript"/>
            <w:lang w:eastAsia="zh-TW"/>
          </w:rPr>
          <w:t>th</w:t>
        </w:r>
        <w:r w:rsidR="00CD0F35" w:rsidRPr="00CD0F35">
          <w:rPr>
            <w:rFonts w:cs="Arial"/>
            <w:bCs/>
            <w:sz w:val="28"/>
            <w:szCs w:val="28"/>
            <w:lang w:eastAsia="zh-TW"/>
          </w:rPr>
          <w:t>–1</w:t>
        </w:r>
        <w:r w:rsidR="001318DD">
          <w:rPr>
            <w:rFonts w:cs="Arial"/>
            <w:bCs/>
            <w:sz w:val="28"/>
            <w:szCs w:val="28"/>
            <w:lang w:eastAsia="zh-TW"/>
          </w:rPr>
          <w:t>6</w:t>
        </w:r>
        <w:r w:rsidR="00CD0F35" w:rsidRPr="00CD0F35">
          <w:rPr>
            <w:rFonts w:cs="Arial"/>
            <w:bCs/>
            <w:sz w:val="28"/>
            <w:szCs w:val="28"/>
            <w:vertAlign w:val="superscript"/>
            <w:lang w:eastAsia="zh-TW"/>
          </w:rPr>
          <w:t>th</w:t>
        </w:r>
        <w:r w:rsidR="00CD0F35" w:rsidRPr="00CD0F35">
          <w:rPr>
            <w:rFonts w:cs="Arial"/>
            <w:bCs/>
            <w:sz w:val="28"/>
            <w:szCs w:val="28"/>
            <w:lang w:eastAsia="zh-TW"/>
          </w:rPr>
          <w:t>, 2018</w:t>
        </w:r>
      </w:hyperlink>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40FFA" w:rsidRPr="00D40FFA">
        <w:rPr>
          <w:rFonts w:cs="Arial"/>
          <w:bCs/>
          <w:sz w:val="28"/>
          <w:szCs w:val="24"/>
          <w:lang w:val="en-US" w:eastAsia="zh-TW"/>
        </w:rPr>
        <w:t>Study and evaluation of scheduling, HARQ and CSI processing timeline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93463B">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rsidTr="009E0CE3">
        <w:tc>
          <w:tcPr>
            <w:tcW w:w="9631" w:type="dxa"/>
          </w:tcPr>
          <w:p w:rsidR="00B32D37" w:rsidRPr="0007292F" w:rsidRDefault="00B32D37" w:rsidP="00173EF3">
            <w:pPr>
              <w:tabs>
                <w:tab w:val="num" w:pos="2160"/>
              </w:tabs>
              <w:spacing w:after="0"/>
              <w:jc w:val="both"/>
              <w:rPr>
                <w:bCs/>
                <w:lang w:val="en-US"/>
              </w:rPr>
            </w:pPr>
            <w:r w:rsidRPr="0007292F">
              <w:rPr>
                <w:bCs/>
                <w:lang w:val="en-US"/>
              </w:rPr>
              <w:t xml:space="preserve">URLLC L1 improvements (RAN1) for further improved reliability/latency and for other requirements related to the use cases identified, </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rsidR="00B32D37" w:rsidRPr="0083559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PUSCH </w:t>
            </w:r>
            <w:r w:rsidR="00105900">
              <w:rPr>
                <w:bCs/>
                <w:lang w:val="en-US"/>
              </w:rPr>
              <w:t>e</w:t>
            </w:r>
            <w:r w:rsidRPr="0007292F">
              <w:rPr>
                <w:bCs/>
                <w:lang w:val="en-US"/>
              </w:rPr>
              <w:t>nhancements. Study focus on mini-slot level hopping &amp; retransmission/repetition enhancements.</w:t>
            </w:r>
          </w:p>
          <w:p w:rsidR="00B32D37" w:rsidRPr="0007292F" w:rsidRDefault="00B32D37" w:rsidP="00173EF3">
            <w:pPr>
              <w:numPr>
                <w:ilvl w:val="0"/>
                <w:numId w:val="11"/>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rsidR="00B32D37" w:rsidRPr="0007292F" w:rsidRDefault="00B32D37" w:rsidP="00173EF3">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8269C4">
              <w:rPr>
                <w:bCs/>
                <w:lang w:val="en-US"/>
              </w:rPr>
              <w:t xml:space="preserve"> Tx prioritization/multiplexing.</w:t>
            </w:r>
          </w:p>
          <w:p w:rsidR="00B32D37" w:rsidRPr="00F351D4" w:rsidRDefault="00B32D37" w:rsidP="00173EF3">
            <w:pPr>
              <w:spacing w:after="120"/>
              <w:jc w:val="both"/>
              <w:textAlignment w:val="center"/>
              <w:rPr>
                <w:bCs/>
              </w:rPr>
            </w:pPr>
            <w:r w:rsidRPr="0007292F">
              <w:rPr>
                <w:bCs/>
              </w:rPr>
              <w:t xml:space="preserve">Enhanced UL configured grant (grant free) transmissions, with study focusing on improved configured grant operation, example methods such as explicit HARQ-ACK, ensuring </w:t>
            </w:r>
            <w:r w:rsidRPr="0093463B">
              <w:rPr>
                <w:bCs/>
                <w:i/>
              </w:rPr>
              <w:t>K</w:t>
            </w:r>
            <w:r w:rsidRPr="0007292F">
              <w:rPr>
                <w:bCs/>
              </w:rPr>
              <w:t xml:space="preserve"> repetitions and mini-slot repetitions within a slot.</w:t>
            </w:r>
          </w:p>
        </w:tc>
      </w:tr>
    </w:tbl>
    <w:p w:rsidR="009A0569" w:rsidRPr="00B32D37" w:rsidRDefault="00630772" w:rsidP="00B32D37">
      <w:pPr>
        <w:spacing w:before="120" w:after="120"/>
        <w:jc w:val="both"/>
        <w:textAlignment w:val="center"/>
        <w:rPr>
          <w:rFonts w:eastAsia="SimSun"/>
          <w:lang w:val="en-US" w:eastAsia="zh-CN"/>
        </w:rPr>
      </w:pPr>
      <w:r w:rsidRPr="0093463B">
        <w:rPr>
          <w:rFonts w:eastAsia="SimSun"/>
          <w:lang w:val="en-US" w:eastAsia="zh-CN"/>
        </w:rPr>
        <w:t xml:space="preserve">In this contribution, </w:t>
      </w:r>
      <w:r w:rsidR="0093463B" w:rsidRPr="0093463B">
        <w:rPr>
          <w:rFonts w:eastAsia="SimSun"/>
          <w:lang w:val="en-US" w:eastAsia="zh-CN"/>
        </w:rPr>
        <w:t>we discuss the UE processing time for PDSCH processing and PUSCH preparation (N1 &amp; N2)</w:t>
      </w:r>
      <w:r w:rsidR="0093463B">
        <w:rPr>
          <w:rFonts w:eastAsia="SimSun"/>
          <w:lang w:val="en-US" w:eastAsia="zh-CN"/>
        </w:rPr>
        <w:t xml:space="preserve"> to investigate the possible enhancements to achieve URLLC requirements. Furthermore, we analyze the required PDCCH monitoring occasions to meet the latency restriction for UL and DL transmission, and we highlight that different PDCCH monitoring configurations are required for UL and DL transmissions. </w:t>
      </w:r>
    </w:p>
    <w:p w:rsidR="007134D5" w:rsidRDefault="0065544C" w:rsidP="0065544C">
      <w:pPr>
        <w:pStyle w:val="Heading1"/>
        <w:rPr>
          <w:lang w:eastAsia="ko-KR"/>
        </w:rPr>
      </w:pPr>
      <w:r w:rsidRPr="0065544C">
        <w:rPr>
          <w:lang w:eastAsia="ko-KR"/>
        </w:rPr>
        <w:t>Discussion</w:t>
      </w:r>
    </w:p>
    <w:p w:rsidR="00A37EB2" w:rsidRDefault="00A37EB2" w:rsidP="008269C4">
      <w:pPr>
        <w:spacing w:after="120"/>
        <w:jc w:val="both"/>
        <w:rPr>
          <w:rFonts w:eastAsia="MS Mincho"/>
          <w:lang w:eastAsia="ja-JP"/>
        </w:rPr>
      </w:pPr>
      <w:r>
        <w:rPr>
          <w:rFonts w:eastAsia="MS Mincho"/>
          <w:lang w:eastAsia="ja-JP"/>
        </w:rPr>
        <w:t xml:space="preserve">URLLC requirements have been taking into consideration in the design of NR Rel-15. In terms of transmission reliability, </w:t>
      </w:r>
      <w:r w:rsidRPr="00A37EB2">
        <w:rPr>
          <w:rFonts w:eastAsia="MS Mincho"/>
          <w:lang w:eastAsia="ja-JP"/>
        </w:rPr>
        <w:t xml:space="preserve">CQI table for CQI report corresponding to </w:t>
      </w:r>
      <w:r>
        <w:rPr>
          <w:rFonts w:eastAsia="MS Mincho"/>
          <w:lang w:eastAsia="ja-JP"/>
        </w:rPr>
        <w:t>1</w:t>
      </w:r>
      <w:r w:rsidRPr="00A37EB2">
        <w:rPr>
          <w:rFonts w:eastAsia="MS Mincho"/>
          <w:lang w:eastAsia="ja-JP"/>
        </w:rPr>
        <w:t>0</w:t>
      </w:r>
      <w:r w:rsidRPr="00A37EB2">
        <w:rPr>
          <w:rFonts w:eastAsia="MS Mincho"/>
          <w:vertAlign w:val="superscript"/>
          <w:lang w:eastAsia="ja-JP"/>
        </w:rPr>
        <w:t>-5</w:t>
      </w:r>
      <w:r w:rsidRPr="00A37EB2">
        <w:rPr>
          <w:rFonts w:eastAsia="MS Mincho"/>
          <w:lang w:eastAsia="ja-JP"/>
        </w:rPr>
        <w:t xml:space="preserve"> BLER target was introduced</w:t>
      </w:r>
      <w:r w:rsidR="00F70223">
        <w:rPr>
          <w:rFonts w:eastAsia="MS Mincho"/>
          <w:lang w:eastAsia="ja-JP"/>
        </w:rPr>
        <w:t xml:space="preserve"> in Rel-15</w:t>
      </w:r>
      <w:r>
        <w:rPr>
          <w:rFonts w:eastAsia="MS Mincho"/>
          <w:lang w:eastAsia="ja-JP"/>
        </w:rPr>
        <w:t xml:space="preserve"> to</w:t>
      </w:r>
      <w:r w:rsidRPr="00A37EB2">
        <w:rPr>
          <w:rFonts w:eastAsia="MS Mincho"/>
          <w:lang w:eastAsia="ja-JP"/>
        </w:rPr>
        <w:t xml:space="preserve"> support URLLC transmission with high reliability requirement. </w:t>
      </w:r>
      <w:r>
        <w:rPr>
          <w:rFonts w:eastAsia="MS Mincho"/>
          <w:lang w:eastAsia="ja-JP"/>
        </w:rPr>
        <w:t>A</w:t>
      </w:r>
      <w:r w:rsidRPr="00A37EB2">
        <w:rPr>
          <w:rFonts w:eastAsia="MS Mincho"/>
          <w:lang w:eastAsia="ja-JP"/>
        </w:rPr>
        <w:t xml:space="preserve"> </w:t>
      </w:r>
      <w:r>
        <w:rPr>
          <w:rFonts w:eastAsia="MS Mincho"/>
          <w:lang w:eastAsia="ja-JP"/>
        </w:rPr>
        <w:t xml:space="preserve">corresponding </w:t>
      </w:r>
      <w:r w:rsidRPr="00A37EB2">
        <w:rPr>
          <w:rFonts w:eastAsia="MS Mincho"/>
          <w:lang w:eastAsia="ja-JP"/>
        </w:rPr>
        <w:t xml:space="preserve">MCS table </w:t>
      </w:r>
      <w:r>
        <w:rPr>
          <w:rFonts w:eastAsia="MS Mincho"/>
          <w:lang w:eastAsia="ja-JP"/>
        </w:rPr>
        <w:t>that target</w:t>
      </w:r>
      <w:r w:rsidR="00F70223">
        <w:rPr>
          <w:rFonts w:eastAsia="MS Mincho"/>
          <w:lang w:eastAsia="ja-JP"/>
        </w:rPr>
        <w:t>s</w:t>
      </w:r>
      <w:r w:rsidRPr="00A37EB2">
        <w:rPr>
          <w:rFonts w:eastAsia="MS Mincho"/>
          <w:lang w:eastAsia="ja-JP"/>
        </w:rPr>
        <w:t xml:space="preserve"> low spectral efficiency was introduced </w:t>
      </w:r>
      <w:r>
        <w:rPr>
          <w:rFonts w:eastAsia="MS Mincho"/>
          <w:lang w:eastAsia="ja-JP"/>
        </w:rPr>
        <w:t>as well</w:t>
      </w:r>
      <w:r w:rsidRPr="00A37EB2">
        <w:rPr>
          <w:rFonts w:eastAsia="MS Mincho"/>
          <w:lang w:eastAsia="ja-JP"/>
        </w:rPr>
        <w:t>.</w:t>
      </w:r>
      <w:r w:rsidR="00F70223">
        <w:rPr>
          <w:rFonts w:eastAsia="MS Mincho"/>
          <w:lang w:eastAsia="ja-JP"/>
        </w:rPr>
        <w:t xml:space="preserve"> </w:t>
      </w:r>
      <w:r>
        <w:rPr>
          <w:rFonts w:eastAsia="MS Mincho"/>
          <w:lang w:eastAsia="ja-JP"/>
        </w:rPr>
        <w:t xml:space="preserve">In terms of latency, with </w:t>
      </w:r>
      <w:r w:rsidRPr="00A37EB2">
        <w:rPr>
          <w:rFonts w:eastAsia="MS Mincho"/>
          <w:lang w:eastAsia="ja-JP"/>
        </w:rPr>
        <w:t>PDSCH/PUSCH mapping Type B</w:t>
      </w:r>
      <w:r>
        <w:rPr>
          <w:rFonts w:eastAsia="MS Mincho"/>
          <w:lang w:eastAsia="ja-JP"/>
        </w:rPr>
        <w:t xml:space="preserve">, the transmission can start at any symbol within the slot, which reduces the incurred latency for data scheduling. </w:t>
      </w:r>
      <w:r>
        <w:rPr>
          <w:rFonts w:eastAsia="MS Mincho"/>
          <w:lang w:eastAsia="ja-JP"/>
        </w:rPr>
        <w:t xml:space="preserve">In addition, configured-grant transmission scheme with up to 2 symbols </w:t>
      </w:r>
      <w:r w:rsidRPr="00F70223">
        <w:rPr>
          <w:rFonts w:eastAsia="MS Mincho"/>
          <w:lang w:eastAsia="ja-JP"/>
        </w:rPr>
        <w:t>periodicity is supported</w:t>
      </w:r>
      <w:r w:rsidRPr="00F70223">
        <w:rPr>
          <w:rFonts w:eastAsia="MS Mincho"/>
          <w:lang w:eastAsia="ja-JP"/>
        </w:rPr>
        <w:t xml:space="preserve"> in Rel-15, and further enhancements are expected </w:t>
      </w:r>
      <w:r w:rsidR="00F70223" w:rsidRPr="00F70223">
        <w:rPr>
          <w:rFonts w:eastAsia="MS Mincho"/>
          <w:lang w:eastAsia="ja-JP"/>
        </w:rPr>
        <w:t>in</w:t>
      </w:r>
      <w:r w:rsidRPr="00F70223">
        <w:rPr>
          <w:rFonts w:eastAsia="MS Mincho"/>
          <w:lang w:eastAsia="ja-JP"/>
        </w:rPr>
        <w:t xml:space="preserve"> Rel-16</w:t>
      </w:r>
      <w:r>
        <w:rPr>
          <w:rFonts w:eastAsia="MS Mincho"/>
          <w:lang w:eastAsia="ja-JP"/>
        </w:rPr>
        <w:t>.</w:t>
      </w:r>
      <w:r>
        <w:rPr>
          <w:rFonts w:eastAsia="MS Mincho"/>
          <w:lang w:eastAsia="ja-JP"/>
        </w:rPr>
        <w:t xml:space="preserve"> A</w:t>
      </w:r>
      <w:r>
        <w:rPr>
          <w:rFonts w:eastAsia="MS Mincho"/>
          <w:lang w:eastAsia="ja-JP"/>
        </w:rPr>
        <w:t xml:space="preserve">ggressive UE processing timeline for PUSCH preparation and </w:t>
      </w:r>
      <w:r w:rsidRPr="00F70223">
        <w:rPr>
          <w:rFonts w:eastAsia="MS Mincho"/>
          <w:lang w:eastAsia="ja-JP"/>
        </w:rPr>
        <w:t xml:space="preserve">PDCCH </w:t>
      </w:r>
      <w:r w:rsidR="00F70223" w:rsidRPr="00F70223">
        <w:rPr>
          <w:rFonts w:eastAsia="MS Mincho"/>
          <w:lang w:eastAsia="ja-JP"/>
        </w:rPr>
        <w:t>processing</w:t>
      </w:r>
      <w:r>
        <w:rPr>
          <w:rFonts w:eastAsia="MS Mincho"/>
          <w:lang w:eastAsia="ja-JP"/>
        </w:rPr>
        <w:t xml:space="preserve"> is supported as well in Rel-15</w:t>
      </w:r>
      <w:r>
        <w:rPr>
          <w:rFonts w:eastAsia="MS Mincho"/>
          <w:lang w:eastAsia="ja-JP"/>
        </w:rPr>
        <w:t>.</w:t>
      </w:r>
      <w:r w:rsidR="00F70223">
        <w:rPr>
          <w:rFonts w:eastAsia="MS Mincho"/>
          <w:lang w:eastAsia="ja-JP"/>
        </w:rPr>
        <w:t xml:space="preserve"> These design aspects can be the main feature to enable URLLC uses-cases in Rel-16.</w:t>
      </w:r>
    </w:p>
    <w:p w:rsidR="00E956BF" w:rsidRDefault="00E956BF" w:rsidP="008269C4">
      <w:pPr>
        <w:spacing w:after="120"/>
        <w:jc w:val="both"/>
        <w:rPr>
          <w:rFonts w:eastAsia="MS Mincho"/>
          <w:lang w:eastAsia="ja-JP"/>
        </w:rPr>
      </w:pPr>
      <w:r>
        <w:rPr>
          <w:rFonts w:eastAsia="MS Mincho"/>
          <w:lang w:eastAsia="ja-JP"/>
        </w:rPr>
        <w:t>The incurred latency depends on the procedure used for the transmission. For</w:t>
      </w:r>
      <w:r w:rsidR="00A37EB2">
        <w:rPr>
          <w:rFonts w:eastAsia="MS Mincho"/>
          <w:lang w:eastAsia="ja-JP"/>
        </w:rPr>
        <w:t xml:space="preserve"> DL</w:t>
      </w:r>
      <w:r w:rsidR="00F70223">
        <w:rPr>
          <w:rFonts w:eastAsia="MS Mincho"/>
          <w:lang w:eastAsia="ja-JP"/>
        </w:rPr>
        <w:t xml:space="preserve"> transmission with dynamic scheduling</w:t>
      </w:r>
      <w:r>
        <w:rPr>
          <w:rFonts w:eastAsia="MS Mincho"/>
          <w:lang w:eastAsia="ja-JP"/>
        </w:rPr>
        <w:t>, the</w:t>
      </w:r>
      <w:r w:rsidR="00A37EB2">
        <w:rPr>
          <w:rFonts w:eastAsia="MS Mincho"/>
          <w:lang w:eastAsia="ja-JP"/>
        </w:rPr>
        <w:t xml:space="preserve">re several elements that contribute the total latency as depicted in </w:t>
      </w:r>
      <w:r w:rsidR="00A37EB2">
        <w:rPr>
          <w:rFonts w:eastAsia="MS Mincho"/>
          <w:lang w:eastAsia="ja-JP"/>
        </w:rPr>
        <w:fldChar w:fldCharType="begin"/>
      </w:r>
      <w:r w:rsidR="00A37EB2">
        <w:rPr>
          <w:rFonts w:eastAsia="MS Mincho"/>
          <w:lang w:eastAsia="ja-JP"/>
        </w:rPr>
        <w:instrText xml:space="preserve"> REF _Ref528948047 \h </w:instrText>
      </w:r>
      <w:r w:rsidR="00A37EB2">
        <w:rPr>
          <w:rFonts w:eastAsia="MS Mincho"/>
          <w:lang w:eastAsia="ja-JP"/>
        </w:rPr>
      </w:r>
      <w:r w:rsidR="00A37EB2">
        <w:rPr>
          <w:rFonts w:eastAsia="MS Mincho"/>
          <w:lang w:eastAsia="ja-JP"/>
        </w:rPr>
        <w:instrText xml:space="preserve"> \* MERGEFORMAT </w:instrText>
      </w:r>
      <w:r w:rsidR="00A37EB2">
        <w:rPr>
          <w:rFonts w:eastAsia="MS Mincho"/>
          <w:lang w:eastAsia="ja-JP"/>
        </w:rPr>
        <w:fldChar w:fldCharType="separate"/>
      </w:r>
      <w:r w:rsidR="0093463B" w:rsidRPr="00B76D86">
        <w:t xml:space="preserve">Figure </w:t>
      </w:r>
      <w:r w:rsidR="0093463B" w:rsidRPr="0093463B">
        <w:rPr>
          <w:noProof/>
        </w:rPr>
        <w:t>1</w:t>
      </w:r>
      <w:r w:rsidR="00A37EB2">
        <w:rPr>
          <w:rFonts w:eastAsia="MS Mincho"/>
          <w:lang w:eastAsia="ja-JP"/>
        </w:rPr>
        <w:fldChar w:fldCharType="end"/>
      </w:r>
      <w:r w:rsidR="00A37EB2">
        <w:rPr>
          <w:rFonts w:eastAsia="MS Mincho"/>
          <w:lang w:eastAsia="ja-JP"/>
        </w:rPr>
        <w:t>.</w:t>
      </w:r>
      <w:r>
        <w:rPr>
          <w:rFonts w:eastAsia="MS Mincho"/>
          <w:lang w:eastAsia="ja-JP"/>
        </w:rPr>
        <w:t xml:space="preserve"> </w:t>
      </w:r>
      <w:r w:rsidR="00A37EB2">
        <w:rPr>
          <w:rFonts w:eastAsia="MS Mincho"/>
          <w:lang w:eastAsia="ja-JP"/>
        </w:rPr>
        <w:t xml:space="preserve">As detailed in our </w:t>
      </w:r>
      <w:r w:rsidR="00A37EB2" w:rsidRPr="00A37EB2">
        <w:rPr>
          <w:rFonts w:eastAsia="MS Mincho"/>
          <w:lang w:eastAsia="ja-JP"/>
        </w:rPr>
        <w:t>companion contribution</w:t>
      </w:r>
      <w:r w:rsidR="00605E5F">
        <w:rPr>
          <w:rFonts w:eastAsia="MS Mincho"/>
          <w:lang w:eastAsia="ja-JP"/>
        </w:rPr>
        <w:t xml:space="preserve"> </w:t>
      </w:r>
      <w:r w:rsidR="00605E5F">
        <w:rPr>
          <w:rFonts w:eastAsia="MS Mincho"/>
          <w:lang w:eastAsia="ja-JP"/>
        </w:rPr>
        <w:fldChar w:fldCharType="begin"/>
      </w:r>
      <w:r w:rsidR="00605E5F">
        <w:rPr>
          <w:rFonts w:eastAsia="MS Mincho"/>
          <w:lang w:eastAsia="ja-JP"/>
        </w:rPr>
        <w:instrText xml:space="preserve"> REF _Ref525920093 \r \h </w:instrText>
      </w:r>
      <w:r w:rsidR="00605E5F">
        <w:rPr>
          <w:rFonts w:eastAsia="MS Mincho"/>
          <w:lang w:eastAsia="ja-JP"/>
        </w:rPr>
      </w:r>
      <w:r w:rsidR="00605E5F">
        <w:rPr>
          <w:rFonts w:eastAsia="MS Mincho"/>
          <w:lang w:eastAsia="ja-JP"/>
        </w:rPr>
        <w:fldChar w:fldCharType="separate"/>
      </w:r>
      <w:r w:rsidR="0093463B">
        <w:rPr>
          <w:rFonts w:eastAsia="MS Mincho"/>
          <w:lang w:eastAsia="ja-JP"/>
        </w:rPr>
        <w:t>[2]</w:t>
      </w:r>
      <w:r w:rsidR="00605E5F">
        <w:rPr>
          <w:rFonts w:eastAsia="MS Mincho"/>
          <w:lang w:eastAsia="ja-JP"/>
        </w:rPr>
        <w:fldChar w:fldCharType="end"/>
      </w:r>
      <w:r w:rsidR="00605E5F">
        <w:rPr>
          <w:rFonts w:eastAsia="MS Mincho"/>
          <w:lang w:eastAsia="ja-JP"/>
        </w:rPr>
        <w:t xml:space="preserve"> </w:t>
      </w:r>
      <w:r w:rsidR="00F70223">
        <w:rPr>
          <w:rFonts w:eastAsia="MS Mincho"/>
          <w:lang w:eastAsia="ja-JP"/>
        </w:rPr>
        <w:t xml:space="preserve">and listed in </w:t>
      </w:r>
      <w:r w:rsidR="00F70223">
        <w:rPr>
          <w:rFonts w:eastAsia="MS Mincho"/>
          <w:lang w:eastAsia="ja-JP"/>
        </w:rPr>
        <w:fldChar w:fldCharType="begin"/>
      </w:r>
      <w:r w:rsidR="00F70223">
        <w:rPr>
          <w:rFonts w:eastAsia="MS Mincho"/>
          <w:lang w:eastAsia="ja-JP"/>
        </w:rPr>
        <w:instrText xml:space="preserve"> REF _Ref528949101 \h </w:instrText>
      </w:r>
      <w:r w:rsidR="00F70223">
        <w:rPr>
          <w:rFonts w:eastAsia="MS Mincho"/>
          <w:lang w:eastAsia="ja-JP"/>
        </w:rPr>
      </w:r>
      <w:r w:rsidR="00F70223">
        <w:rPr>
          <w:rFonts w:eastAsia="MS Mincho"/>
          <w:lang w:eastAsia="ja-JP"/>
        </w:rPr>
        <w:fldChar w:fldCharType="separate"/>
      </w:r>
      <w:r w:rsidR="0093463B" w:rsidRPr="00922E39">
        <w:t xml:space="preserve">Table </w:t>
      </w:r>
      <w:r w:rsidR="0093463B">
        <w:rPr>
          <w:noProof/>
        </w:rPr>
        <w:t>1</w:t>
      </w:r>
      <w:r w:rsidR="00F70223">
        <w:rPr>
          <w:rFonts w:eastAsia="MS Mincho"/>
          <w:lang w:eastAsia="ja-JP"/>
        </w:rPr>
        <w:fldChar w:fldCharType="end"/>
      </w:r>
      <w:r w:rsidR="00F70223">
        <w:rPr>
          <w:rFonts w:eastAsia="MS Mincho"/>
          <w:lang w:eastAsia="ja-JP"/>
        </w:rPr>
        <w:t xml:space="preserve"> below</w:t>
      </w:r>
      <w:r w:rsidR="00A37EB2">
        <w:rPr>
          <w:rFonts w:eastAsia="MS Mincho"/>
          <w:lang w:eastAsia="ja-JP"/>
        </w:rPr>
        <w:t xml:space="preserve">, with </w:t>
      </w:r>
      <w:r w:rsidR="00F70223">
        <w:rPr>
          <w:rFonts w:eastAsia="MS Mincho"/>
          <w:lang w:eastAsia="ja-JP"/>
        </w:rPr>
        <w:t>multiple HARQ feedbacks in a slot</w:t>
      </w:r>
      <w:r w:rsidR="00A37EB2">
        <w:rPr>
          <w:rFonts w:eastAsia="MS Mincho"/>
          <w:lang w:eastAsia="ja-JP"/>
        </w:rPr>
        <w:t>,</w:t>
      </w:r>
      <w:r w:rsidR="00F70223">
        <w:rPr>
          <w:rFonts w:eastAsia="MS Mincho"/>
          <w:lang w:eastAsia="ja-JP"/>
        </w:rPr>
        <w:t xml:space="preserve"> up to 4 (re)transmissions are possible within the 1ms latency constraint using Rel-15 UE processing time.</w:t>
      </w:r>
    </w:p>
    <w:p w:rsidR="00A37EB2" w:rsidRDefault="00A37EB2" w:rsidP="008269C4">
      <w:pPr>
        <w:spacing w:after="120"/>
        <w:jc w:val="both"/>
        <w:rPr>
          <w:rFonts w:eastAsia="MS Mincho"/>
          <w:lang w:eastAsia="ja-JP"/>
        </w:rPr>
      </w:pPr>
    </w:p>
    <w:p w:rsidR="00A37EB2" w:rsidRDefault="00A37EB2" w:rsidP="00A37EB2">
      <w:pPr>
        <w:spacing w:after="0"/>
        <w:jc w:val="center"/>
      </w:pPr>
      <w:r w:rsidRPr="00A37EB2">
        <w:lastRenderedPageBreak/>
        <w:drawing>
          <wp:inline distT="0" distB="0" distL="0" distR="0" wp14:anchorId="43772FC6" wp14:editId="4E70910D">
            <wp:extent cx="52514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1450" cy="1847850"/>
                    </a:xfrm>
                    <a:prstGeom prst="rect">
                      <a:avLst/>
                    </a:prstGeom>
                    <a:noFill/>
                    <a:ln>
                      <a:noFill/>
                    </a:ln>
                  </pic:spPr>
                </pic:pic>
              </a:graphicData>
            </a:graphic>
          </wp:inline>
        </w:drawing>
      </w:r>
    </w:p>
    <w:p w:rsidR="00A37EB2" w:rsidRPr="00B76D86" w:rsidRDefault="00A37EB2" w:rsidP="00A37EB2">
      <w:pPr>
        <w:pStyle w:val="Caption"/>
        <w:spacing w:before="0"/>
        <w:jc w:val="center"/>
        <w:rPr>
          <w:b w:val="0"/>
        </w:rPr>
      </w:pPr>
      <w:bookmarkStart w:id="2" w:name="_Ref528948047"/>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93463B">
        <w:rPr>
          <w:b w:val="0"/>
          <w:noProof/>
        </w:rPr>
        <w:t>1</w:t>
      </w:r>
      <w:r w:rsidRPr="00B76D86">
        <w:rPr>
          <w:b w:val="0"/>
        </w:rPr>
        <w:fldChar w:fldCharType="end"/>
      </w:r>
      <w:bookmarkEnd w:id="2"/>
      <w:r w:rsidRPr="00B76D86">
        <w:rPr>
          <w:b w:val="0"/>
        </w:rPr>
        <w:t xml:space="preserve">: </w:t>
      </w:r>
      <w:r w:rsidRPr="00A37EB2">
        <w:rPr>
          <w:b w:val="0"/>
        </w:rPr>
        <w:t>Latency associated with different channels with a single HARQ transmission</w:t>
      </w:r>
      <w:r>
        <w:rPr>
          <w:b w:val="0"/>
        </w:rPr>
        <w:t>.</w:t>
      </w:r>
    </w:p>
    <w:p w:rsidR="00F70223" w:rsidRDefault="00F70223" w:rsidP="00F70223">
      <w:pPr>
        <w:spacing w:after="0" w:line="259" w:lineRule="auto"/>
        <w:jc w:val="center"/>
      </w:pPr>
      <w:bookmarkStart w:id="3" w:name="_Ref528949101"/>
      <w:r w:rsidRPr="00922E39">
        <w:t xml:space="preserve">Table </w:t>
      </w:r>
      <w:r w:rsidRPr="00922E39">
        <w:fldChar w:fldCharType="begin"/>
      </w:r>
      <w:r w:rsidRPr="00922E39">
        <w:instrText xml:space="preserve"> SEQ Table \* ARABIC </w:instrText>
      </w:r>
      <w:r w:rsidRPr="00922E39">
        <w:fldChar w:fldCharType="separate"/>
      </w:r>
      <w:r w:rsidR="0093463B">
        <w:rPr>
          <w:noProof/>
        </w:rPr>
        <w:t>1</w:t>
      </w:r>
      <w:r w:rsidRPr="00922E39">
        <w:fldChar w:fldCharType="end"/>
      </w:r>
      <w:bookmarkEnd w:id="3"/>
      <w:r w:rsidRPr="00922E39">
        <w:t xml:space="preserve">: </w:t>
      </w:r>
      <w:r w:rsidRPr="00F70223">
        <w:t>Maximum number of HARQ transmissions permitted for different subcarrier spacing and PDSCH size</w:t>
      </w:r>
      <w:r>
        <w:t>.</w:t>
      </w:r>
    </w:p>
    <w:tbl>
      <w:tblPr>
        <w:tblW w:w="5675" w:type="dxa"/>
        <w:jc w:val="center"/>
        <w:tblLayout w:type="fixed"/>
        <w:tblLook w:val="04A0" w:firstRow="1" w:lastRow="0" w:firstColumn="1" w:lastColumn="0" w:noHBand="0" w:noVBand="1"/>
      </w:tblPr>
      <w:tblGrid>
        <w:gridCol w:w="1281"/>
        <w:gridCol w:w="1464"/>
        <w:gridCol w:w="1465"/>
        <w:gridCol w:w="1465"/>
      </w:tblGrid>
      <w:tr w:rsidR="00F70223" w:rsidRPr="00346457" w:rsidTr="00F70223">
        <w:trPr>
          <w:trHeight w:val="170"/>
          <w:jc w:val="center"/>
        </w:trPr>
        <w:tc>
          <w:tcPr>
            <w:tcW w:w="1281"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rsidR="00F70223" w:rsidRPr="00346457" w:rsidRDefault="00F70223" w:rsidP="00B22E81">
            <w:pPr>
              <w:spacing w:after="0"/>
              <w:jc w:val="center"/>
              <w:rPr>
                <w:rFonts w:eastAsia="Times New Roman"/>
                <w:b/>
                <w:bCs/>
                <w:color w:val="000000"/>
                <w:lang w:val="en-US"/>
              </w:rPr>
            </w:pPr>
            <w:r w:rsidRPr="00346457">
              <w:rPr>
                <w:rFonts w:eastAsia="Times New Roman"/>
                <w:b/>
                <w:bCs/>
                <w:color w:val="000000"/>
                <w:lang w:val="en-US"/>
              </w:rPr>
              <w:t>PDSCH size</w:t>
            </w:r>
          </w:p>
        </w:tc>
        <w:tc>
          <w:tcPr>
            <w:tcW w:w="1464"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F70223" w:rsidRPr="00346457" w:rsidRDefault="00F70223" w:rsidP="00B22E81">
            <w:pPr>
              <w:spacing w:after="0"/>
              <w:jc w:val="center"/>
              <w:rPr>
                <w:rFonts w:eastAsia="Times New Roman"/>
                <w:b/>
                <w:bCs/>
                <w:color w:val="000000"/>
                <w:lang w:val="en-US"/>
              </w:rPr>
            </w:pPr>
            <w:r w:rsidRPr="00346457">
              <w:rPr>
                <w:rFonts w:eastAsia="Times New Roman"/>
                <w:b/>
                <w:bCs/>
                <w:color w:val="000000"/>
                <w:lang w:val="en-US"/>
              </w:rPr>
              <w:t>15kHz</w:t>
            </w:r>
          </w:p>
        </w:tc>
        <w:tc>
          <w:tcPr>
            <w:tcW w:w="1465"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F70223" w:rsidRPr="00346457" w:rsidRDefault="00F70223" w:rsidP="00B22E81">
            <w:pPr>
              <w:spacing w:after="0"/>
              <w:jc w:val="center"/>
              <w:rPr>
                <w:rFonts w:eastAsia="Times New Roman"/>
                <w:b/>
                <w:bCs/>
                <w:color w:val="000000"/>
                <w:lang w:val="en-US"/>
              </w:rPr>
            </w:pPr>
            <w:r w:rsidRPr="00346457">
              <w:rPr>
                <w:rFonts w:eastAsia="Times New Roman"/>
                <w:b/>
                <w:bCs/>
                <w:color w:val="000000"/>
                <w:lang w:val="en-US"/>
              </w:rPr>
              <w:t>30kHz</w:t>
            </w:r>
          </w:p>
        </w:tc>
        <w:tc>
          <w:tcPr>
            <w:tcW w:w="1465"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F70223" w:rsidRPr="00346457" w:rsidRDefault="00F70223" w:rsidP="00B22E81">
            <w:pPr>
              <w:spacing w:after="0"/>
              <w:jc w:val="center"/>
              <w:rPr>
                <w:rFonts w:eastAsia="Times New Roman"/>
                <w:b/>
                <w:bCs/>
                <w:color w:val="000000"/>
                <w:lang w:val="en-US"/>
              </w:rPr>
            </w:pPr>
            <w:r w:rsidRPr="00346457">
              <w:rPr>
                <w:rFonts w:eastAsia="Times New Roman"/>
                <w:b/>
                <w:bCs/>
                <w:color w:val="000000"/>
                <w:lang w:val="en-US"/>
              </w:rPr>
              <w:t>60kHz</w:t>
            </w:r>
          </w:p>
        </w:tc>
      </w:tr>
      <w:tr w:rsidR="00F70223" w:rsidRPr="00346457" w:rsidTr="00B22E81">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F70223" w:rsidRPr="00346457" w:rsidRDefault="00F70223" w:rsidP="00B22E81">
            <w:pPr>
              <w:spacing w:after="0"/>
              <w:jc w:val="center"/>
              <w:rPr>
                <w:lang w:val="en-US"/>
              </w:rPr>
            </w:pPr>
            <w:r w:rsidRPr="00346457">
              <w:rPr>
                <w:lang w:val="en-US"/>
              </w:rPr>
              <w:t>2OS</w:t>
            </w:r>
          </w:p>
        </w:tc>
        <w:tc>
          <w:tcPr>
            <w:tcW w:w="1464"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spacing w:after="0"/>
              <w:jc w:val="center"/>
              <w:rPr>
                <w:lang w:val="en-US"/>
              </w:rPr>
            </w:pPr>
            <w:r w:rsidRPr="00346457">
              <w:rPr>
                <w:lang w:val="en-US"/>
              </w:rPr>
              <w:t>2</w:t>
            </w:r>
          </w:p>
        </w:tc>
        <w:tc>
          <w:tcPr>
            <w:tcW w:w="1465"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spacing w:after="0"/>
              <w:jc w:val="center"/>
              <w:rPr>
                <w:lang w:val="en-US"/>
              </w:rPr>
            </w:pPr>
            <w:r w:rsidRPr="00346457">
              <w:rPr>
                <w:lang w:val="en-US"/>
              </w:rPr>
              <w:t>3</w:t>
            </w:r>
          </w:p>
        </w:tc>
        <w:tc>
          <w:tcPr>
            <w:tcW w:w="1465"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spacing w:after="0"/>
              <w:jc w:val="center"/>
              <w:rPr>
                <w:lang w:val="en-US"/>
              </w:rPr>
            </w:pPr>
            <w:r w:rsidRPr="00346457">
              <w:rPr>
                <w:lang w:val="en-US"/>
              </w:rPr>
              <w:t>4</w:t>
            </w:r>
          </w:p>
        </w:tc>
      </w:tr>
      <w:tr w:rsidR="00F70223" w:rsidRPr="00346457" w:rsidTr="00B22E81">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F70223" w:rsidRPr="00346457" w:rsidRDefault="00F70223" w:rsidP="00B22E81">
            <w:pPr>
              <w:spacing w:after="0"/>
              <w:jc w:val="center"/>
              <w:rPr>
                <w:lang w:val="en-US"/>
              </w:rPr>
            </w:pPr>
            <w:r w:rsidRPr="00346457">
              <w:rPr>
                <w:lang w:val="en-US"/>
              </w:rPr>
              <w:t>4OS</w:t>
            </w:r>
          </w:p>
        </w:tc>
        <w:tc>
          <w:tcPr>
            <w:tcW w:w="1464"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spacing w:after="0"/>
              <w:jc w:val="center"/>
              <w:rPr>
                <w:lang w:val="en-US"/>
              </w:rPr>
            </w:pPr>
            <w:r w:rsidRPr="00346457">
              <w:rPr>
                <w:lang w:val="en-US"/>
              </w:rPr>
              <w:t>2</w:t>
            </w:r>
          </w:p>
        </w:tc>
        <w:tc>
          <w:tcPr>
            <w:tcW w:w="1465"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spacing w:after="0"/>
              <w:jc w:val="center"/>
              <w:rPr>
                <w:lang w:val="en-US"/>
              </w:rPr>
            </w:pPr>
            <w:r w:rsidRPr="00346457">
              <w:rPr>
                <w:lang w:val="en-US"/>
              </w:rPr>
              <w:t>3</w:t>
            </w:r>
          </w:p>
        </w:tc>
        <w:tc>
          <w:tcPr>
            <w:tcW w:w="1465"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spacing w:after="0"/>
              <w:jc w:val="center"/>
              <w:rPr>
                <w:lang w:val="en-US"/>
              </w:rPr>
            </w:pPr>
            <w:r w:rsidRPr="00346457">
              <w:rPr>
                <w:lang w:val="en-US"/>
              </w:rPr>
              <w:t>4</w:t>
            </w:r>
          </w:p>
        </w:tc>
      </w:tr>
      <w:tr w:rsidR="00F70223" w:rsidRPr="00346457" w:rsidTr="00B22E81">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F70223" w:rsidRPr="00346457" w:rsidRDefault="00F70223" w:rsidP="00B22E81">
            <w:pPr>
              <w:spacing w:after="0"/>
              <w:jc w:val="center"/>
              <w:rPr>
                <w:lang w:val="en-US"/>
              </w:rPr>
            </w:pPr>
            <w:r w:rsidRPr="00346457">
              <w:rPr>
                <w:lang w:val="en-US"/>
              </w:rPr>
              <w:t>7OS</w:t>
            </w:r>
          </w:p>
        </w:tc>
        <w:tc>
          <w:tcPr>
            <w:tcW w:w="1464"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keepNext/>
              <w:spacing w:after="0"/>
              <w:jc w:val="center"/>
              <w:rPr>
                <w:lang w:val="en-US"/>
              </w:rPr>
            </w:pPr>
            <w:r w:rsidRPr="00346457">
              <w:rPr>
                <w:lang w:val="en-US"/>
              </w:rPr>
              <w:t>1</w:t>
            </w:r>
          </w:p>
        </w:tc>
        <w:tc>
          <w:tcPr>
            <w:tcW w:w="1465"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keepNext/>
              <w:spacing w:after="0"/>
              <w:jc w:val="center"/>
              <w:rPr>
                <w:lang w:val="en-US"/>
              </w:rPr>
            </w:pPr>
            <w:r w:rsidRPr="00346457">
              <w:rPr>
                <w:lang w:val="en-US"/>
              </w:rPr>
              <w:t>2</w:t>
            </w:r>
          </w:p>
        </w:tc>
        <w:tc>
          <w:tcPr>
            <w:tcW w:w="1465" w:type="dxa"/>
            <w:tcBorders>
              <w:top w:val="nil"/>
              <w:left w:val="nil"/>
              <w:bottom w:val="single" w:sz="4" w:space="0" w:color="auto"/>
              <w:right w:val="single" w:sz="4" w:space="0" w:color="auto"/>
            </w:tcBorders>
            <w:shd w:val="clear" w:color="auto" w:fill="auto"/>
            <w:vAlign w:val="center"/>
          </w:tcPr>
          <w:p w:rsidR="00F70223" w:rsidRPr="00346457" w:rsidRDefault="00F70223" w:rsidP="00B22E81">
            <w:pPr>
              <w:keepNext/>
              <w:spacing w:after="0"/>
              <w:jc w:val="center"/>
              <w:rPr>
                <w:lang w:val="en-US"/>
              </w:rPr>
            </w:pPr>
            <w:r w:rsidRPr="00346457">
              <w:rPr>
                <w:lang w:val="en-US"/>
              </w:rPr>
              <w:t>3</w:t>
            </w:r>
          </w:p>
        </w:tc>
      </w:tr>
    </w:tbl>
    <w:p w:rsidR="00F70223" w:rsidRDefault="00F70223" w:rsidP="00F70223">
      <w:pPr>
        <w:spacing w:after="120"/>
        <w:jc w:val="both"/>
        <w:rPr>
          <w:rFonts w:eastAsia="MS Mincho"/>
          <w:lang w:eastAsia="ja-JP"/>
        </w:rPr>
      </w:pPr>
    </w:p>
    <w:p w:rsidR="00F70223" w:rsidRPr="00F70223" w:rsidRDefault="00F70223" w:rsidP="00F70223">
      <w:pPr>
        <w:spacing w:after="120"/>
        <w:jc w:val="both"/>
        <w:rPr>
          <w:rFonts w:eastAsia="MS Mincho"/>
          <w:b/>
          <w:i/>
          <w:lang w:eastAsia="ja-JP"/>
        </w:rPr>
      </w:pPr>
      <w:r w:rsidRPr="00F70223">
        <w:rPr>
          <w:rFonts w:eastAsia="MS Mincho"/>
          <w:b/>
          <w:i/>
          <w:lang w:eastAsia="ja-JP"/>
        </w:rPr>
        <w:t xml:space="preserve">Observation 1: </w:t>
      </w:r>
      <w:r w:rsidRPr="00F70223">
        <w:rPr>
          <w:rFonts w:eastAsia="MS Mincho"/>
          <w:b/>
          <w:i/>
          <w:lang w:eastAsia="ja-JP"/>
        </w:rPr>
        <w:t xml:space="preserve">Rel-15 </w:t>
      </w:r>
      <w:r w:rsidRPr="00F70223">
        <w:rPr>
          <w:rFonts w:eastAsia="MS Mincho"/>
          <w:b/>
          <w:i/>
          <w:lang w:eastAsia="ja-JP"/>
        </w:rPr>
        <w:t xml:space="preserve">capability#2 </w:t>
      </w:r>
      <w:r w:rsidRPr="00F70223">
        <w:rPr>
          <w:rFonts w:eastAsia="MS Mincho"/>
          <w:b/>
          <w:i/>
          <w:lang w:eastAsia="ja-JP"/>
        </w:rPr>
        <w:t>for PDSCH processing time is sufficient to meet URLLC requirements</w:t>
      </w:r>
      <w:r w:rsidRPr="00F70223">
        <w:rPr>
          <w:rFonts w:eastAsia="MS Mincho"/>
          <w:b/>
          <w:i/>
          <w:lang w:eastAsia="ja-JP"/>
        </w:rPr>
        <w:t>.</w:t>
      </w:r>
    </w:p>
    <w:p w:rsidR="00F70223" w:rsidRDefault="00F70223" w:rsidP="008269C4">
      <w:pPr>
        <w:spacing w:after="120"/>
        <w:jc w:val="both"/>
        <w:rPr>
          <w:rFonts w:eastAsia="MS Mincho"/>
          <w:lang w:eastAsia="ja-JP"/>
        </w:rPr>
      </w:pPr>
      <w:r>
        <w:rPr>
          <w:rFonts w:eastAsia="MS Mincho"/>
          <w:lang w:eastAsia="ja-JP"/>
        </w:rPr>
        <w:t>For UL transmission, configured-grant is the most suitable approach for meeting the URLLC latency requirement for small subcarrier spacing (e.g. 15KHz</w:t>
      </w:r>
      <w:r w:rsidRPr="00F927F8">
        <w:rPr>
          <w:rFonts w:eastAsia="MS Mincho"/>
          <w:lang w:eastAsia="ja-JP"/>
        </w:rPr>
        <w:t>)</w:t>
      </w:r>
      <w:r w:rsidR="00F927F8" w:rsidRPr="00F927F8">
        <w:rPr>
          <w:rFonts w:eastAsia="MS Mincho"/>
          <w:lang w:eastAsia="ja-JP"/>
        </w:rPr>
        <w:t xml:space="preserve"> </w:t>
      </w:r>
      <w:r w:rsidR="00F927F8" w:rsidRPr="00F927F8">
        <w:rPr>
          <w:rFonts w:eastAsia="MS Mincho"/>
          <w:lang w:eastAsia="ja-JP"/>
        </w:rPr>
        <w:fldChar w:fldCharType="begin"/>
      </w:r>
      <w:r w:rsidR="00F927F8" w:rsidRPr="00F927F8">
        <w:rPr>
          <w:rFonts w:eastAsia="MS Mincho"/>
          <w:lang w:eastAsia="ja-JP"/>
        </w:rPr>
        <w:instrText xml:space="preserve"> REF _Ref528951969 \r \h </w:instrText>
      </w:r>
      <w:r w:rsidR="00F927F8" w:rsidRPr="00F927F8">
        <w:rPr>
          <w:rFonts w:eastAsia="MS Mincho"/>
          <w:lang w:eastAsia="ja-JP"/>
        </w:rPr>
      </w:r>
      <w:r w:rsidR="00F927F8" w:rsidRPr="00F927F8">
        <w:rPr>
          <w:rFonts w:eastAsia="MS Mincho"/>
          <w:lang w:eastAsia="ja-JP"/>
        </w:rPr>
        <w:fldChar w:fldCharType="separate"/>
      </w:r>
      <w:r w:rsidR="0093463B">
        <w:rPr>
          <w:rFonts w:eastAsia="MS Mincho"/>
          <w:lang w:eastAsia="ja-JP"/>
        </w:rPr>
        <w:t>[3]</w:t>
      </w:r>
      <w:r w:rsidR="00F927F8" w:rsidRPr="00F927F8">
        <w:rPr>
          <w:rFonts w:eastAsia="MS Mincho"/>
          <w:lang w:eastAsia="ja-JP"/>
        </w:rPr>
        <w:fldChar w:fldCharType="end"/>
      </w:r>
      <w:r w:rsidRPr="00F927F8">
        <w:rPr>
          <w:rFonts w:eastAsia="MS Mincho"/>
          <w:lang w:eastAsia="ja-JP"/>
        </w:rPr>
        <w:t xml:space="preserve">. </w:t>
      </w:r>
      <w:r>
        <w:rPr>
          <w:rFonts w:eastAsia="MS Mincho"/>
          <w:lang w:eastAsia="ja-JP"/>
        </w:rPr>
        <w:t>For, larger subcarrier spacing (e.g. 60</w:t>
      </w:r>
      <w:r>
        <w:rPr>
          <w:rFonts w:eastAsia="MS Mincho"/>
          <w:lang w:eastAsia="ja-JP"/>
        </w:rPr>
        <w:t>KHz)</w:t>
      </w:r>
      <w:r>
        <w:rPr>
          <w:rFonts w:eastAsia="MS Mincho"/>
          <w:lang w:eastAsia="ja-JP"/>
        </w:rPr>
        <w:t xml:space="preserve">, the current capability#2 for PUSCH preparation time is sufficient to meet the latency requirements in dynamic-grant scheme. </w:t>
      </w:r>
    </w:p>
    <w:p w:rsidR="00F70223" w:rsidRDefault="00F70223" w:rsidP="00F70223">
      <w:pPr>
        <w:spacing w:after="120"/>
        <w:jc w:val="both"/>
        <w:rPr>
          <w:rFonts w:eastAsia="MS Mincho"/>
          <w:lang w:eastAsia="ja-JP"/>
        </w:rPr>
      </w:pPr>
      <w:r w:rsidRPr="00F70223">
        <w:rPr>
          <w:rFonts w:eastAsia="MS Mincho"/>
          <w:b/>
          <w:i/>
          <w:lang w:eastAsia="ja-JP"/>
        </w:rPr>
        <w:t xml:space="preserve">Observation </w:t>
      </w:r>
      <w:r w:rsidRPr="00F70223">
        <w:rPr>
          <w:rFonts w:eastAsia="MS Mincho"/>
          <w:b/>
          <w:i/>
          <w:lang w:eastAsia="ja-JP"/>
        </w:rPr>
        <w:t>2</w:t>
      </w:r>
      <w:r w:rsidRPr="00F70223">
        <w:rPr>
          <w:rFonts w:eastAsia="MS Mincho"/>
          <w:b/>
          <w:i/>
          <w:lang w:eastAsia="ja-JP"/>
        </w:rPr>
        <w:t xml:space="preserve">: </w:t>
      </w:r>
      <w:r w:rsidRPr="00F70223">
        <w:rPr>
          <w:rFonts w:eastAsia="MS Mincho"/>
          <w:b/>
          <w:i/>
          <w:lang w:eastAsia="ja-JP"/>
        </w:rPr>
        <w:t>For small subcarrier spacing (e.g. 15KHz), configured-grant o</w:t>
      </w:r>
      <w:r w:rsidRPr="00F70223">
        <w:rPr>
          <w:rFonts w:eastAsia="MS Mincho"/>
          <w:b/>
          <w:i/>
          <w:lang w:eastAsia="ja-JP"/>
        </w:rPr>
        <w:t>peration to meet URLLC requirements</w:t>
      </w:r>
      <w:r>
        <w:rPr>
          <w:rFonts w:eastAsia="MS Mincho"/>
          <w:b/>
          <w:i/>
          <w:lang w:eastAsia="ja-JP"/>
        </w:rPr>
        <w:t>.</w:t>
      </w:r>
    </w:p>
    <w:p w:rsidR="00F70223" w:rsidRPr="00F70223" w:rsidRDefault="00F70223" w:rsidP="008269C4">
      <w:pPr>
        <w:spacing w:after="120"/>
        <w:jc w:val="both"/>
        <w:rPr>
          <w:rFonts w:eastAsia="MS Mincho"/>
          <w:b/>
          <w:i/>
          <w:lang w:eastAsia="ja-JP"/>
        </w:rPr>
      </w:pPr>
      <w:r w:rsidRPr="00F70223">
        <w:rPr>
          <w:rFonts w:eastAsia="MS Mincho"/>
          <w:b/>
          <w:i/>
          <w:lang w:eastAsia="ja-JP"/>
        </w:rPr>
        <w:t xml:space="preserve">Proposal 1: There is no need to introduce new UE processing time for PDSCH processing and </w:t>
      </w:r>
      <w:r w:rsidRPr="00F70223">
        <w:rPr>
          <w:rFonts w:eastAsia="MS Mincho"/>
          <w:b/>
          <w:i/>
          <w:lang w:eastAsia="ja-JP"/>
        </w:rPr>
        <w:t>PUSCH preparation</w:t>
      </w:r>
      <w:r w:rsidRPr="00F70223">
        <w:rPr>
          <w:rFonts w:eastAsia="MS Mincho"/>
          <w:b/>
          <w:i/>
          <w:lang w:eastAsia="ja-JP"/>
        </w:rPr>
        <w:t xml:space="preserve"> (N1 &amp; N2) in Rel-16.</w:t>
      </w:r>
    </w:p>
    <w:p w:rsidR="00580009" w:rsidRDefault="009D13C9" w:rsidP="00580009">
      <w:pPr>
        <w:pStyle w:val="Heading1"/>
        <w:rPr>
          <w:lang w:eastAsia="ko-KR"/>
        </w:rPr>
      </w:pPr>
      <w:r>
        <w:rPr>
          <w:lang w:eastAsia="ko-KR"/>
        </w:rPr>
        <w:t>PDCCH monitoring enhancements</w:t>
      </w:r>
    </w:p>
    <w:p w:rsidR="00AC0C8B" w:rsidRDefault="00AC0C8B" w:rsidP="00AC0C8B">
      <w:pPr>
        <w:pStyle w:val="ListParagraph"/>
        <w:ind w:left="0"/>
        <w:jc w:val="both"/>
        <w:rPr>
          <w:lang w:eastAsia="ko-KR"/>
        </w:rPr>
      </w:pPr>
      <w:r>
        <w:rPr>
          <w:lang w:eastAsia="ko-KR"/>
        </w:rPr>
        <w:t>In this section, we will perform some latency analysis for the UL and DL transmissions, and we will assess if any link direction is particularly impacting the latency performance more than the other link.</w:t>
      </w:r>
    </w:p>
    <w:p w:rsidR="00AC0C8B" w:rsidRDefault="00AC0C8B" w:rsidP="00AC0C8B">
      <w:pPr>
        <w:pStyle w:val="ListParagraph"/>
        <w:ind w:left="0"/>
        <w:jc w:val="both"/>
        <w:rPr>
          <w:lang w:eastAsia="ko-KR"/>
        </w:rPr>
      </w:pPr>
      <w:r>
        <w:rPr>
          <w:lang w:eastAsia="ko-KR"/>
        </w:rPr>
        <w:t>Once the UE has a packet to be transmitted in UL, the UE needs to generate and send an SR to the gNB to be allocated some resources for the UL transmission. The SR is not transmitted immediately since the UE needs to comply with the configured SR periodicity. The gNB needs also some time to process the SR and generate the UL grant. The DCI carrying the UL grant is not transmitted immediately since the PDCCH transmission needs some time alignment to comply with configured PDCCH periodicity and bitmap. Therefore, the SR transmission and decoding procedure will clearly affect the overall UL latency.</w:t>
      </w:r>
    </w:p>
    <w:p w:rsidR="00AC0C8B" w:rsidRDefault="00AC0C8B" w:rsidP="00AC0C8B">
      <w:pPr>
        <w:pStyle w:val="ListParagraph"/>
        <w:ind w:left="0"/>
        <w:jc w:val="both"/>
        <w:rPr>
          <w:lang w:eastAsia="ko-KR"/>
        </w:rPr>
      </w:pPr>
      <w:r>
        <w:rPr>
          <w:lang w:eastAsia="ko-KR"/>
        </w:rPr>
        <w:t>Using the parameters and assumptions given in</w:t>
      </w:r>
      <w:r w:rsidR="0093463B">
        <w:rPr>
          <w:lang w:eastAsia="ko-KR"/>
        </w:rPr>
        <w:t xml:space="preserve"> </w:t>
      </w:r>
      <w:r w:rsidR="0093463B">
        <w:rPr>
          <w:lang w:eastAsia="ko-KR"/>
        </w:rPr>
        <w:fldChar w:fldCharType="begin"/>
      </w:r>
      <w:r w:rsidR="0093463B">
        <w:rPr>
          <w:lang w:eastAsia="ko-KR"/>
        </w:rPr>
        <w:instrText xml:space="preserve"> REF _Ref525545843 \h </w:instrText>
      </w:r>
      <w:r w:rsidR="0093463B">
        <w:rPr>
          <w:lang w:eastAsia="ko-KR"/>
        </w:rPr>
      </w:r>
      <w:r w:rsidR="0093463B">
        <w:rPr>
          <w:lang w:eastAsia="ko-KR"/>
        </w:rPr>
        <w:instrText xml:space="preserve"> \* MERGEFORMAT </w:instrText>
      </w:r>
      <w:r w:rsidR="0093463B">
        <w:rPr>
          <w:lang w:eastAsia="ko-KR"/>
        </w:rPr>
        <w:fldChar w:fldCharType="separate"/>
      </w:r>
      <w:r w:rsidR="0093463B" w:rsidRPr="00FA623B">
        <w:t xml:space="preserve">Table </w:t>
      </w:r>
      <w:r w:rsidR="0093463B" w:rsidRPr="0093463B">
        <w:rPr>
          <w:noProof/>
        </w:rPr>
        <w:t>2</w:t>
      </w:r>
      <w:r w:rsidR="0093463B">
        <w:rPr>
          <w:lang w:eastAsia="ko-KR"/>
        </w:rPr>
        <w:fldChar w:fldCharType="end"/>
      </w:r>
      <w:r>
        <w:rPr>
          <w:lang w:eastAsia="ko-KR"/>
        </w:rPr>
        <w:t xml:space="preserve"> in</w:t>
      </w:r>
      <w:r w:rsidR="0093463B">
        <w:rPr>
          <w:lang w:eastAsia="ko-KR"/>
        </w:rPr>
        <w:t xml:space="preserve"> </w:t>
      </w:r>
      <w:r w:rsidR="0093463B">
        <w:rPr>
          <w:lang w:eastAsia="ko-KR"/>
        </w:rPr>
        <w:fldChar w:fldCharType="begin"/>
      </w:r>
      <w:r w:rsidR="0093463B">
        <w:rPr>
          <w:lang w:eastAsia="ko-KR"/>
        </w:rPr>
        <w:instrText xml:space="preserve"> REF _Ref528952063 \h </w:instrText>
      </w:r>
      <w:r w:rsidR="0093463B">
        <w:rPr>
          <w:lang w:eastAsia="ko-KR"/>
        </w:rPr>
      </w:r>
      <w:r w:rsidR="0093463B">
        <w:rPr>
          <w:lang w:eastAsia="ko-KR"/>
        </w:rPr>
        <w:fldChar w:fldCharType="separate"/>
      </w:r>
      <w:r w:rsidR="0093463B" w:rsidRPr="00D25D32">
        <w:t xml:space="preserve">Appendix </w:t>
      </w:r>
      <w:r w:rsidR="0093463B">
        <w:t>A</w:t>
      </w:r>
      <w:r w:rsidR="0093463B">
        <w:rPr>
          <w:lang w:eastAsia="ko-KR"/>
        </w:rPr>
        <w:fldChar w:fldCharType="end"/>
      </w:r>
      <w:r>
        <w:rPr>
          <w:lang w:eastAsia="ko-KR"/>
        </w:rPr>
        <w:t>, we show in that</w:t>
      </w:r>
      <w:r w:rsidR="0093463B">
        <w:rPr>
          <w:lang w:eastAsia="ko-KR"/>
        </w:rPr>
        <w:t xml:space="preserve"> </w:t>
      </w:r>
      <w:r w:rsidR="0093463B">
        <w:rPr>
          <w:lang w:eastAsia="ko-KR"/>
        </w:rPr>
        <w:fldChar w:fldCharType="begin"/>
      </w:r>
      <w:r w:rsidR="0093463B">
        <w:rPr>
          <w:lang w:eastAsia="ko-KR"/>
        </w:rPr>
        <w:instrText xml:space="preserve"> REF _Ref506393823 \h </w:instrText>
      </w:r>
      <w:r w:rsidR="0093463B">
        <w:rPr>
          <w:lang w:eastAsia="ko-KR"/>
        </w:rPr>
      </w:r>
      <w:r w:rsidR="0093463B">
        <w:rPr>
          <w:lang w:eastAsia="ko-KR"/>
        </w:rPr>
        <w:instrText xml:space="preserve"> \* MERGEFORMAT </w:instrText>
      </w:r>
      <w:r w:rsidR="0093463B">
        <w:rPr>
          <w:lang w:eastAsia="ko-KR"/>
        </w:rPr>
        <w:fldChar w:fldCharType="separate"/>
      </w:r>
      <w:r w:rsidR="0093463B" w:rsidRPr="00B76D86">
        <w:t xml:space="preserve">Figure </w:t>
      </w:r>
      <w:r w:rsidR="0093463B" w:rsidRPr="0093463B">
        <w:rPr>
          <w:noProof/>
        </w:rPr>
        <w:t>2</w:t>
      </w:r>
      <w:r w:rsidR="0093463B">
        <w:rPr>
          <w:lang w:eastAsia="ko-KR"/>
        </w:rPr>
        <w:fldChar w:fldCharType="end"/>
      </w:r>
      <w:r>
        <w:rPr>
          <w:lang w:eastAsia="ko-KR"/>
        </w:rPr>
        <w:t xml:space="preserve"> UL latency is higher than DL latency and this is due to the UL control aspects fully dependent on the SR-based UL-SCH operation.</w:t>
      </w:r>
      <w:r w:rsidR="0093463B">
        <w:rPr>
          <w:lang w:eastAsia="ko-KR"/>
        </w:rPr>
        <w:t xml:space="preserve"> </w:t>
      </w:r>
      <w:r>
        <w:rPr>
          <w:lang w:eastAsia="ko-KR"/>
        </w:rPr>
        <w:t>As the processing delays and the transmission procedures are not the same in UL and DL this leads to concluding that the overall latencies in UL and DL are not symmetric and the assumption of symmetric latency for UL and DL is invalid. Therefore, Different techniques could be envisaged to handle each link differ</w:t>
      </w:r>
      <w:bookmarkStart w:id="4" w:name="_GoBack"/>
      <w:bookmarkEnd w:id="4"/>
      <w:r>
        <w:rPr>
          <w:lang w:eastAsia="ko-KR"/>
        </w:rPr>
        <w:t>ently to improve its latency</w:t>
      </w:r>
      <w:r>
        <w:rPr>
          <w:lang w:eastAsia="ko-KR"/>
        </w:rPr>
        <w:t>.</w:t>
      </w:r>
    </w:p>
    <w:p w:rsidR="00AC0C8B" w:rsidRDefault="00AC0C8B" w:rsidP="00AC0C8B">
      <w:pPr>
        <w:pStyle w:val="ListParagraph"/>
        <w:ind w:left="0"/>
        <w:jc w:val="both"/>
        <w:rPr>
          <w:lang w:eastAsia="ko-KR"/>
        </w:rPr>
      </w:pPr>
      <w:r w:rsidRPr="00A24915">
        <w:rPr>
          <w:rFonts w:eastAsia="Times New Roman"/>
          <w:b/>
          <w:i/>
          <w:lang w:val="en-US" w:eastAsia="ja-JP"/>
        </w:rPr>
        <w:t>Observation</w:t>
      </w:r>
      <w:r>
        <w:rPr>
          <w:rFonts w:eastAsia="Times New Roman"/>
          <w:b/>
          <w:i/>
          <w:lang w:val="en-US" w:eastAsia="ja-JP"/>
        </w:rPr>
        <w:t xml:space="preserve"> </w:t>
      </w:r>
      <w:r w:rsidR="0093463B">
        <w:rPr>
          <w:rFonts w:eastAsia="Times New Roman"/>
          <w:b/>
          <w:i/>
          <w:lang w:val="en-US" w:eastAsia="ja-JP"/>
        </w:rPr>
        <w:t>3</w:t>
      </w:r>
      <w:r w:rsidRPr="00A24915">
        <w:rPr>
          <w:rFonts w:eastAsia="Times New Roman"/>
          <w:b/>
          <w:i/>
          <w:lang w:val="en-US" w:eastAsia="ja-JP"/>
        </w:rPr>
        <w:t xml:space="preserve">: </w:t>
      </w:r>
      <w:r>
        <w:rPr>
          <w:rFonts w:eastAsia="Times New Roman"/>
          <w:b/>
          <w:i/>
          <w:lang w:val="en-US" w:eastAsia="ja-JP"/>
        </w:rPr>
        <w:t xml:space="preserve">The incurred latency in </w:t>
      </w:r>
      <w:r w:rsidRPr="00A24915">
        <w:rPr>
          <w:rFonts w:eastAsia="Times New Roman"/>
          <w:b/>
          <w:i/>
          <w:lang w:val="en-US" w:eastAsia="ja-JP"/>
        </w:rPr>
        <w:t xml:space="preserve">UL </w:t>
      </w:r>
      <w:r>
        <w:rPr>
          <w:rFonts w:eastAsia="Times New Roman"/>
          <w:b/>
          <w:i/>
          <w:lang w:val="en-US" w:eastAsia="ja-JP"/>
        </w:rPr>
        <w:t>transmission is</w:t>
      </w:r>
      <w:r w:rsidRPr="00A24915">
        <w:rPr>
          <w:rFonts w:eastAsia="Times New Roman"/>
          <w:b/>
          <w:i/>
          <w:lang w:val="en-US" w:eastAsia="ja-JP"/>
        </w:rPr>
        <w:t xml:space="preserve"> higher than </w:t>
      </w:r>
      <w:r>
        <w:rPr>
          <w:rFonts w:eastAsia="Times New Roman"/>
          <w:b/>
          <w:i/>
          <w:lang w:val="en-US" w:eastAsia="ja-JP"/>
        </w:rPr>
        <w:t xml:space="preserve">that for </w:t>
      </w:r>
      <w:r w:rsidRPr="00A24915">
        <w:rPr>
          <w:rFonts w:eastAsia="Times New Roman"/>
          <w:b/>
          <w:i/>
          <w:lang w:val="en-US" w:eastAsia="ja-JP"/>
        </w:rPr>
        <w:t xml:space="preserve">DL </w:t>
      </w:r>
      <w:r>
        <w:rPr>
          <w:rFonts w:eastAsia="Times New Roman"/>
          <w:b/>
          <w:i/>
          <w:lang w:val="en-US" w:eastAsia="ja-JP"/>
        </w:rPr>
        <w:t>transmission.</w:t>
      </w:r>
    </w:p>
    <w:p w:rsidR="008C7939" w:rsidRDefault="00AC0C8B" w:rsidP="0093463B">
      <w:pPr>
        <w:spacing w:after="0"/>
        <w:jc w:val="center"/>
      </w:pPr>
      <w:r>
        <w:object w:dxaOrig="10411" w:dyaOrig="6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01.5pt" o:ole="">
            <v:imagedata r:id="rId15" o:title=""/>
          </v:shape>
          <o:OLEObject Type="Embed" ProgID="Visio.Drawing.15" ShapeID="_x0000_i1025" DrawAspect="Content" ObjectID="_1602695220" r:id="rId16"/>
        </w:object>
      </w:r>
      <w:r w:rsidR="008C7939" w:rsidRPr="003365EC">
        <w:t xml:space="preserve"> </w:t>
      </w:r>
    </w:p>
    <w:p w:rsidR="008C7939" w:rsidRPr="00B76D86" w:rsidRDefault="008C7939" w:rsidP="0093463B">
      <w:pPr>
        <w:pStyle w:val="Caption"/>
        <w:spacing w:before="0"/>
        <w:jc w:val="center"/>
        <w:rPr>
          <w:b w:val="0"/>
        </w:rPr>
      </w:pPr>
      <w:bookmarkStart w:id="5"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93463B">
        <w:rPr>
          <w:b w:val="0"/>
          <w:noProof/>
        </w:rPr>
        <w:t>2</w:t>
      </w:r>
      <w:r w:rsidRPr="00B76D86">
        <w:rPr>
          <w:b w:val="0"/>
        </w:rPr>
        <w:fldChar w:fldCharType="end"/>
      </w:r>
      <w:bookmarkEnd w:id="5"/>
      <w:r w:rsidRPr="00B76D86">
        <w:rPr>
          <w:b w:val="0"/>
        </w:rPr>
        <w:t xml:space="preserve">: </w:t>
      </w:r>
      <w:r w:rsidR="00AC0C8B" w:rsidRPr="00A24915">
        <w:rPr>
          <w:b w:val="0"/>
        </w:rPr>
        <w:t xml:space="preserve">DL/UL </w:t>
      </w:r>
      <w:r w:rsidR="00AC0C8B">
        <w:rPr>
          <w:b w:val="0"/>
        </w:rPr>
        <w:t>transmission latency</w:t>
      </w:r>
      <w:r>
        <w:rPr>
          <w:b w:val="0"/>
        </w:rPr>
        <w:t>.</w:t>
      </w:r>
    </w:p>
    <w:p w:rsidR="00AC0C8B" w:rsidRDefault="00AC0C8B" w:rsidP="0093463B">
      <w:pPr>
        <w:spacing w:after="120"/>
        <w:jc w:val="both"/>
        <w:rPr>
          <w:lang w:eastAsia="ko-KR"/>
        </w:rPr>
      </w:pPr>
      <w:r>
        <w:rPr>
          <w:lang w:eastAsia="ko-KR"/>
        </w:rPr>
        <w:t>Therefore, one possible approach to reduce the latency in UL is to have more frequent PDCCH monitoring occasions to meet the latency requirement and compensate for the additional delay caused by the scheduling request procedure. There is however no current mechanism to differentiate between PDCCH monitoring occasions to target UL or DL traffic during the monitoring and the decoding of the control channels.</w:t>
      </w:r>
    </w:p>
    <w:p w:rsidR="00AC0C8B" w:rsidRDefault="00AC0C8B" w:rsidP="00AC0C8B">
      <w:pPr>
        <w:jc w:val="both"/>
        <w:rPr>
          <w:lang w:eastAsia="ko-KR"/>
        </w:rPr>
      </w:pPr>
      <w:r>
        <w:rPr>
          <w:lang w:eastAsia="ko-KR"/>
        </w:rPr>
        <w:t>One possible proposal, instead of permanently increasing the PDCCH monitoring occasions, it is possible to define an additional PDCCH monitoring configuration that is used only when there is UL data to be transmitted. Hence, the UE could be configured with a secondary PDCCH monitoring configuration (or secondary Search Space) that is monitored at certain period of times based on specific triggers (e.g. SR transmission) as shown in</w:t>
      </w:r>
      <w:r w:rsidR="0093463B">
        <w:rPr>
          <w:lang w:eastAsia="ko-KR"/>
        </w:rPr>
        <w:t xml:space="preserve"> </w:t>
      </w:r>
      <w:r w:rsidR="0093463B">
        <w:rPr>
          <w:lang w:eastAsia="ko-KR"/>
        </w:rPr>
        <w:fldChar w:fldCharType="begin"/>
      </w:r>
      <w:r w:rsidR="0093463B">
        <w:rPr>
          <w:lang w:eastAsia="ko-KR"/>
        </w:rPr>
        <w:instrText xml:space="preserve"> REF _Ref528952334 \h </w:instrText>
      </w:r>
      <w:r w:rsidR="0093463B">
        <w:rPr>
          <w:lang w:eastAsia="ko-KR"/>
        </w:rPr>
      </w:r>
      <w:r w:rsidR="0093463B">
        <w:rPr>
          <w:lang w:eastAsia="ko-KR"/>
        </w:rPr>
        <w:instrText xml:space="preserve"> \* MERGEFORMAT </w:instrText>
      </w:r>
      <w:r w:rsidR="0093463B">
        <w:rPr>
          <w:lang w:eastAsia="ko-KR"/>
        </w:rPr>
        <w:fldChar w:fldCharType="separate"/>
      </w:r>
      <w:r w:rsidR="0093463B" w:rsidRPr="00B76D86">
        <w:t xml:space="preserve">Figure </w:t>
      </w:r>
      <w:r w:rsidR="0093463B" w:rsidRPr="0093463B">
        <w:rPr>
          <w:noProof/>
        </w:rPr>
        <w:t>3</w:t>
      </w:r>
      <w:r w:rsidR="0093463B">
        <w:rPr>
          <w:lang w:eastAsia="ko-KR"/>
        </w:rPr>
        <w:fldChar w:fldCharType="end"/>
      </w:r>
      <w:r>
        <w:rPr>
          <w:lang w:eastAsia="ko-KR"/>
        </w:rPr>
        <w:t>.</w:t>
      </w:r>
    </w:p>
    <w:p w:rsidR="00AC0C8B" w:rsidRDefault="00AC0C8B" w:rsidP="0093463B">
      <w:pPr>
        <w:spacing w:after="0"/>
        <w:jc w:val="center"/>
      </w:pPr>
      <w:r w:rsidRPr="00B233C6">
        <w:rPr>
          <w:noProof/>
          <w:lang w:eastAsia="en-GB"/>
        </w:rPr>
        <w:drawing>
          <wp:inline distT="0" distB="0" distL="0" distR="0" wp14:anchorId="7667A566" wp14:editId="01413458">
            <wp:extent cx="5473700" cy="1785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l="830" t="11662" r="2809"/>
                    <a:stretch/>
                  </pic:blipFill>
                  <pic:spPr bwMode="auto">
                    <a:xfrm>
                      <a:off x="0" y="0"/>
                      <a:ext cx="5510241" cy="1797203"/>
                    </a:xfrm>
                    <a:prstGeom prst="rect">
                      <a:avLst/>
                    </a:prstGeom>
                    <a:noFill/>
                    <a:ln>
                      <a:noFill/>
                    </a:ln>
                    <a:extLst>
                      <a:ext uri="{53640926-AAD7-44D8-BBD7-CCE9431645EC}">
                        <a14:shadowObscured xmlns:a14="http://schemas.microsoft.com/office/drawing/2010/main"/>
                      </a:ext>
                    </a:extLst>
                  </pic:spPr>
                </pic:pic>
              </a:graphicData>
            </a:graphic>
          </wp:inline>
        </w:drawing>
      </w:r>
    </w:p>
    <w:p w:rsidR="00AC0C8B" w:rsidRPr="00B76D86" w:rsidRDefault="00AC0C8B" w:rsidP="0093463B">
      <w:pPr>
        <w:pStyle w:val="Caption"/>
        <w:spacing w:before="0"/>
        <w:jc w:val="center"/>
        <w:rPr>
          <w:b w:val="0"/>
        </w:rPr>
      </w:pPr>
      <w:bookmarkStart w:id="6" w:name="_Ref528952334"/>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93463B">
        <w:rPr>
          <w:b w:val="0"/>
          <w:noProof/>
        </w:rPr>
        <w:t>3</w:t>
      </w:r>
      <w:r w:rsidRPr="00B76D86">
        <w:rPr>
          <w:b w:val="0"/>
        </w:rPr>
        <w:fldChar w:fldCharType="end"/>
      </w:r>
      <w:bookmarkEnd w:id="6"/>
      <w:r w:rsidRPr="00B76D86">
        <w:rPr>
          <w:b w:val="0"/>
        </w:rPr>
        <w:t xml:space="preserve">: </w:t>
      </w:r>
      <w:r w:rsidR="0093463B" w:rsidRPr="00A24915">
        <w:rPr>
          <w:b w:val="0"/>
        </w:rPr>
        <w:t xml:space="preserve">Secondary PDCCH monitoring </w:t>
      </w:r>
      <w:r w:rsidR="0093463B">
        <w:rPr>
          <w:b w:val="0"/>
        </w:rPr>
        <w:t>c</w:t>
      </w:r>
      <w:r w:rsidR="0093463B" w:rsidRPr="00A24915">
        <w:rPr>
          <w:b w:val="0"/>
        </w:rPr>
        <w:t>onfiguration triggered by SR</w:t>
      </w:r>
      <w:r>
        <w:rPr>
          <w:b w:val="0"/>
        </w:rPr>
        <w:t>.</w:t>
      </w:r>
    </w:p>
    <w:p w:rsidR="00AC0C8B" w:rsidRDefault="00AC0C8B" w:rsidP="00AC0C8B">
      <w:pPr>
        <w:jc w:val="both"/>
        <w:rPr>
          <w:lang w:eastAsia="ko-KR"/>
        </w:rPr>
      </w:pPr>
      <w:r>
        <w:rPr>
          <w:lang w:eastAsia="ko-KR"/>
        </w:rPr>
        <w:t>For example, based on the parameters and assumptions in</w:t>
      </w:r>
      <w:r w:rsidR="0093463B">
        <w:rPr>
          <w:lang w:eastAsia="ko-KR"/>
        </w:rPr>
        <w:t xml:space="preserve"> </w:t>
      </w:r>
      <w:r w:rsidR="0093463B">
        <w:rPr>
          <w:lang w:eastAsia="ko-KR"/>
        </w:rPr>
        <w:fldChar w:fldCharType="begin"/>
      </w:r>
      <w:r w:rsidR="0093463B">
        <w:rPr>
          <w:lang w:eastAsia="ko-KR"/>
        </w:rPr>
        <w:instrText xml:space="preserve"> REF _Ref525545843 \h </w:instrText>
      </w:r>
      <w:r w:rsidR="0093463B">
        <w:rPr>
          <w:lang w:eastAsia="ko-KR"/>
        </w:rPr>
      </w:r>
      <w:r w:rsidR="0093463B">
        <w:rPr>
          <w:lang w:eastAsia="ko-KR"/>
        </w:rPr>
        <w:instrText xml:space="preserve"> \* MERGEFORMAT </w:instrText>
      </w:r>
      <w:r w:rsidR="0093463B">
        <w:rPr>
          <w:lang w:eastAsia="ko-KR"/>
        </w:rPr>
        <w:fldChar w:fldCharType="separate"/>
      </w:r>
      <w:r w:rsidR="0093463B" w:rsidRPr="00FA623B">
        <w:t xml:space="preserve">Table </w:t>
      </w:r>
      <w:r w:rsidR="0093463B" w:rsidRPr="0093463B">
        <w:rPr>
          <w:noProof/>
        </w:rPr>
        <w:t>2</w:t>
      </w:r>
      <w:r w:rsidR="0093463B">
        <w:rPr>
          <w:lang w:eastAsia="ko-KR"/>
        </w:rPr>
        <w:fldChar w:fldCharType="end"/>
      </w:r>
      <w:r>
        <w:rPr>
          <w:lang w:eastAsia="ko-KR"/>
        </w:rPr>
        <w:t>, latency analysis for UL and DL is established in</w:t>
      </w:r>
      <w:r w:rsidR="0093463B">
        <w:rPr>
          <w:lang w:eastAsia="ko-KR"/>
        </w:rPr>
        <w:t xml:space="preserve"> </w:t>
      </w:r>
      <w:r w:rsidR="0093463B">
        <w:rPr>
          <w:lang w:eastAsia="ko-KR"/>
        </w:rPr>
        <w:fldChar w:fldCharType="begin"/>
      </w:r>
      <w:r w:rsidR="0093463B">
        <w:rPr>
          <w:lang w:eastAsia="ko-KR"/>
        </w:rPr>
        <w:instrText xml:space="preserve"> REF _Ref528953068 \h </w:instrText>
      </w:r>
      <w:r w:rsidR="0093463B">
        <w:rPr>
          <w:lang w:eastAsia="ko-KR"/>
        </w:rPr>
      </w:r>
      <w:r w:rsidR="0093463B">
        <w:rPr>
          <w:lang w:eastAsia="ko-KR"/>
        </w:rPr>
        <w:fldChar w:fldCharType="separate"/>
      </w:r>
      <w:r w:rsidR="0093463B" w:rsidRPr="00B76D86">
        <w:t xml:space="preserve">Figure </w:t>
      </w:r>
      <w:r w:rsidR="0093463B">
        <w:rPr>
          <w:noProof/>
        </w:rPr>
        <w:t>4</w:t>
      </w:r>
      <w:r w:rsidR="0093463B">
        <w:rPr>
          <w:lang w:eastAsia="ko-KR"/>
        </w:rPr>
        <w:fldChar w:fldCharType="end"/>
      </w:r>
      <w:r w:rsidR="0093463B">
        <w:rPr>
          <w:lang w:eastAsia="ko-KR"/>
        </w:rPr>
        <w:t xml:space="preserve">  </w:t>
      </w:r>
      <w:r>
        <w:rPr>
          <w:lang w:eastAsia="ko-KR"/>
        </w:rPr>
        <w:t>for various PDCCH monitoring configurations. To meet the latency requirement, one possible PDCCH monitoring adaptation based on the SR is:</w:t>
      </w:r>
    </w:p>
    <w:p w:rsidR="00AC0C8B" w:rsidRDefault="00AC0C8B" w:rsidP="00AC0C8B">
      <w:pPr>
        <w:pStyle w:val="ListParagraph"/>
        <w:numPr>
          <w:ilvl w:val="0"/>
          <w:numId w:val="14"/>
        </w:numPr>
        <w:jc w:val="both"/>
        <w:rPr>
          <w:lang w:eastAsia="ko-KR"/>
        </w:rPr>
      </w:pPr>
      <w:r>
        <w:rPr>
          <w:lang w:eastAsia="ko-KR"/>
        </w:rPr>
        <w:t xml:space="preserve">Default Configuration: PDCCH monitoring configuration with 4 OS periodicity, </w:t>
      </w:r>
    </w:p>
    <w:p w:rsidR="00AC0C8B" w:rsidRDefault="00AC0C8B" w:rsidP="00AC0C8B">
      <w:pPr>
        <w:pStyle w:val="ListParagraph"/>
        <w:numPr>
          <w:ilvl w:val="0"/>
          <w:numId w:val="14"/>
        </w:numPr>
        <w:jc w:val="both"/>
        <w:rPr>
          <w:lang w:eastAsia="ko-KR"/>
        </w:rPr>
      </w:pPr>
      <w:r>
        <w:rPr>
          <w:lang w:eastAsia="ko-KR"/>
        </w:rPr>
        <w:t>Secondary Configuration: PDCCH monitoring configuration with 2 OS periodicity (applied when there is SR).</w:t>
      </w:r>
    </w:p>
    <w:bookmarkStart w:id="7" w:name="_Ref528952376"/>
    <w:p w:rsidR="00AC0C8B" w:rsidRPr="00B76D86" w:rsidRDefault="00AC0C8B" w:rsidP="00AC0C8B">
      <w:pPr>
        <w:spacing w:after="120"/>
        <w:jc w:val="center"/>
        <w:rPr>
          <w:b/>
        </w:rPr>
      </w:pPr>
      <w:r>
        <w:object w:dxaOrig="16726" w:dyaOrig="6495">
          <v:shape id="_x0000_i1026" type="#_x0000_t75" style="width:482.5pt;height:187pt" o:ole="">
            <v:imagedata r:id="rId18" o:title=""/>
          </v:shape>
          <o:OLEObject Type="Embed" ProgID="Visio.Drawing.15" ShapeID="_x0000_i1026" DrawAspect="Content" ObjectID="_1602695221" r:id="rId19"/>
        </w:object>
      </w:r>
      <w:bookmarkStart w:id="8" w:name="_Ref528953068"/>
      <w:r w:rsidRPr="00B76D86">
        <w:t xml:space="preserve">Figure </w:t>
      </w:r>
      <w:r w:rsidRPr="00B76D86">
        <w:rPr>
          <w:b/>
        </w:rPr>
        <w:fldChar w:fldCharType="begin"/>
      </w:r>
      <w:r w:rsidRPr="00B76D86">
        <w:instrText xml:space="preserve"> SEQ Figure \* ARABIC </w:instrText>
      </w:r>
      <w:r w:rsidRPr="00B76D86">
        <w:rPr>
          <w:b/>
        </w:rPr>
        <w:fldChar w:fldCharType="separate"/>
      </w:r>
      <w:r w:rsidR="0093463B">
        <w:rPr>
          <w:noProof/>
        </w:rPr>
        <w:t>4</w:t>
      </w:r>
      <w:r w:rsidRPr="00B76D86">
        <w:rPr>
          <w:b/>
        </w:rPr>
        <w:fldChar w:fldCharType="end"/>
      </w:r>
      <w:bookmarkEnd w:id="7"/>
      <w:bookmarkEnd w:id="8"/>
      <w:r w:rsidRPr="00B76D86">
        <w:t xml:space="preserve">: </w:t>
      </w:r>
      <w:r w:rsidRPr="00A24915">
        <w:t xml:space="preserve">UL and DL latencies based on various PDCCH monitoring </w:t>
      </w:r>
      <w:r>
        <w:t>c</w:t>
      </w:r>
      <w:r w:rsidRPr="00A24915">
        <w:t>onfigurations</w:t>
      </w:r>
      <w:r>
        <w:t>.</w:t>
      </w:r>
    </w:p>
    <w:p w:rsidR="00AC0C8B" w:rsidRDefault="009D13C9" w:rsidP="00AC0C8B">
      <w:pPr>
        <w:jc w:val="both"/>
        <w:rPr>
          <w:lang w:eastAsia="ko-KR"/>
        </w:rPr>
      </w:pPr>
      <w:r w:rsidRPr="009D13C9">
        <w:rPr>
          <w:lang w:eastAsia="ko-KR"/>
        </w:rPr>
        <w:t>The primary and secondary PDCCH monitoring configurations should be taken into account to restrict the UE blind decoding to maintain it within the reasonable range. The UE blind decoding is controlled by higher layer RRC parameters. The gNB can select the proper settings for secondary PDCCH monitoring configuration to restrict the UE blind decoding. E.g. reduce number of monitored ALs, DCI formats and/or PDCCH candidates when secondary configuration is used.</w:t>
      </w:r>
    </w:p>
    <w:p w:rsidR="009D13C9" w:rsidRDefault="009D13C9" w:rsidP="00AC0C8B">
      <w:pPr>
        <w:jc w:val="both"/>
        <w:rPr>
          <w:lang w:eastAsia="ko-KR"/>
        </w:rPr>
      </w:pPr>
      <w:r w:rsidRPr="00A24915">
        <w:rPr>
          <w:rFonts w:eastAsia="Times New Roman"/>
          <w:b/>
          <w:i/>
          <w:lang w:val="en-US" w:eastAsia="ja-JP"/>
        </w:rPr>
        <w:t>Proposal</w:t>
      </w:r>
      <w:r>
        <w:rPr>
          <w:rFonts w:eastAsia="Times New Roman"/>
          <w:b/>
          <w:i/>
          <w:lang w:val="en-US" w:eastAsia="ja-JP"/>
        </w:rPr>
        <w:t xml:space="preserve"> </w:t>
      </w:r>
      <w:r w:rsidR="0093463B">
        <w:rPr>
          <w:rFonts w:eastAsia="Times New Roman"/>
          <w:b/>
          <w:i/>
          <w:lang w:val="en-US" w:eastAsia="ja-JP"/>
        </w:rPr>
        <w:t>2</w:t>
      </w:r>
      <w:r w:rsidRPr="00A24915">
        <w:rPr>
          <w:rFonts w:eastAsia="Times New Roman"/>
          <w:b/>
          <w:i/>
          <w:lang w:val="en-US" w:eastAsia="ja-JP"/>
        </w:rPr>
        <w:t xml:space="preserve">: The UE is to be configured with two PDCCH monitoring configurations where the secondary configuration has more PDCCH monitoring occasions and </w:t>
      </w:r>
      <w:r>
        <w:rPr>
          <w:rFonts w:eastAsia="Times New Roman"/>
          <w:b/>
          <w:i/>
          <w:lang w:val="en-US" w:eastAsia="ja-JP"/>
        </w:rPr>
        <w:t>it</w:t>
      </w:r>
      <w:r w:rsidRPr="00A24915">
        <w:rPr>
          <w:rFonts w:eastAsia="Times New Roman"/>
          <w:b/>
          <w:i/>
          <w:lang w:val="en-US" w:eastAsia="ja-JP"/>
        </w:rPr>
        <w:t xml:space="preserve"> is triggered when the SR is transmitted.</w:t>
      </w:r>
    </w:p>
    <w:p w:rsidR="002D44AF" w:rsidRDefault="002D44AF" w:rsidP="002D44AF">
      <w:pPr>
        <w:pStyle w:val="Heading1"/>
        <w:rPr>
          <w:lang w:eastAsia="zh-TW"/>
        </w:rPr>
      </w:pPr>
      <w:r w:rsidRPr="00807D4E">
        <w:rPr>
          <w:rFonts w:hint="eastAsia"/>
        </w:rPr>
        <w:t>Conclusion</w:t>
      </w:r>
    </w:p>
    <w:p w:rsidR="00BF0158" w:rsidRDefault="00BF0158" w:rsidP="0093463B">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discussed the UE processing times and </w:t>
      </w:r>
      <w:r w:rsidR="0093463B">
        <w:rPr>
          <w:lang w:eastAsia="ko-KR"/>
        </w:rPr>
        <w:t>enhancements</w:t>
      </w:r>
      <w:r w:rsidR="0093463B">
        <w:rPr>
          <w:rFonts w:eastAsia="SimSun"/>
          <w:lang w:eastAsia="zh-CN"/>
        </w:rPr>
        <w:t xml:space="preserve"> for PDCCH monitoring,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93463B" w:rsidRPr="00F70223" w:rsidRDefault="0093463B" w:rsidP="0093463B">
      <w:pPr>
        <w:spacing w:after="120"/>
        <w:jc w:val="both"/>
        <w:rPr>
          <w:rFonts w:eastAsia="MS Mincho"/>
          <w:b/>
          <w:i/>
          <w:lang w:eastAsia="ja-JP"/>
        </w:rPr>
      </w:pPr>
      <w:r w:rsidRPr="00F70223">
        <w:rPr>
          <w:rFonts w:eastAsia="MS Mincho"/>
          <w:b/>
          <w:i/>
          <w:lang w:eastAsia="ja-JP"/>
        </w:rPr>
        <w:t>Observation 1: Rel-15 capability#2 for PDSCH processing time is sufficient to meet URLLC requirements.</w:t>
      </w:r>
    </w:p>
    <w:p w:rsidR="0093463B" w:rsidRDefault="0093463B" w:rsidP="0093463B">
      <w:pPr>
        <w:spacing w:after="120"/>
        <w:jc w:val="both"/>
        <w:rPr>
          <w:rFonts w:eastAsia="MS Mincho"/>
          <w:lang w:eastAsia="ja-JP"/>
        </w:rPr>
      </w:pPr>
      <w:r w:rsidRPr="00F70223">
        <w:rPr>
          <w:rFonts w:eastAsia="MS Mincho"/>
          <w:b/>
          <w:i/>
          <w:lang w:eastAsia="ja-JP"/>
        </w:rPr>
        <w:t>Observation 2: For small subcarrier spacing (e.g. 15KHz), configured-grant operation to meet URLLC requirements</w:t>
      </w:r>
      <w:r>
        <w:rPr>
          <w:rFonts w:eastAsia="MS Mincho"/>
          <w:b/>
          <w:i/>
          <w:lang w:eastAsia="ja-JP"/>
        </w:rPr>
        <w:t>.</w:t>
      </w:r>
    </w:p>
    <w:p w:rsidR="00105900" w:rsidRDefault="0093463B" w:rsidP="0093463B">
      <w:pPr>
        <w:spacing w:after="120"/>
        <w:jc w:val="both"/>
        <w:rPr>
          <w:rFonts w:eastAsia="MS Mincho"/>
          <w:b/>
          <w:i/>
          <w:lang w:eastAsia="ja-JP"/>
        </w:rPr>
      </w:pPr>
      <w:r w:rsidRPr="00F70223">
        <w:rPr>
          <w:rFonts w:eastAsia="MS Mincho"/>
          <w:b/>
          <w:i/>
          <w:lang w:eastAsia="ja-JP"/>
        </w:rPr>
        <w:t>Proposal 1: There is no need to introduce new UE processing time for PDSCH processing and PUSCH preparation (N1 &amp; N2) in Rel-16.</w:t>
      </w:r>
    </w:p>
    <w:p w:rsidR="0093463B" w:rsidRDefault="0093463B" w:rsidP="0093463B">
      <w:pPr>
        <w:pStyle w:val="ListParagraph"/>
        <w:spacing w:after="120"/>
        <w:ind w:left="0"/>
        <w:jc w:val="both"/>
        <w:rPr>
          <w:lang w:eastAsia="ko-KR"/>
        </w:rPr>
      </w:pPr>
      <w:r w:rsidRPr="00A24915">
        <w:rPr>
          <w:rFonts w:eastAsia="Times New Roman"/>
          <w:b/>
          <w:i/>
          <w:lang w:val="en-US" w:eastAsia="ja-JP"/>
        </w:rPr>
        <w:t>Observation</w:t>
      </w:r>
      <w:r>
        <w:rPr>
          <w:rFonts w:eastAsia="Times New Roman"/>
          <w:b/>
          <w:i/>
          <w:lang w:val="en-US" w:eastAsia="ja-JP"/>
        </w:rPr>
        <w:t xml:space="preserve"> 3</w:t>
      </w:r>
      <w:r w:rsidRPr="00A24915">
        <w:rPr>
          <w:rFonts w:eastAsia="Times New Roman"/>
          <w:b/>
          <w:i/>
          <w:lang w:val="en-US" w:eastAsia="ja-JP"/>
        </w:rPr>
        <w:t xml:space="preserve">: </w:t>
      </w:r>
      <w:r>
        <w:rPr>
          <w:rFonts w:eastAsia="Times New Roman"/>
          <w:b/>
          <w:i/>
          <w:lang w:val="en-US" w:eastAsia="ja-JP"/>
        </w:rPr>
        <w:t xml:space="preserve">The incurred latency in </w:t>
      </w:r>
      <w:r w:rsidRPr="00A24915">
        <w:rPr>
          <w:rFonts w:eastAsia="Times New Roman"/>
          <w:b/>
          <w:i/>
          <w:lang w:val="en-US" w:eastAsia="ja-JP"/>
        </w:rPr>
        <w:t xml:space="preserve">UL </w:t>
      </w:r>
      <w:r>
        <w:rPr>
          <w:rFonts w:eastAsia="Times New Roman"/>
          <w:b/>
          <w:i/>
          <w:lang w:val="en-US" w:eastAsia="ja-JP"/>
        </w:rPr>
        <w:t>transmission is</w:t>
      </w:r>
      <w:r w:rsidRPr="00A24915">
        <w:rPr>
          <w:rFonts w:eastAsia="Times New Roman"/>
          <w:b/>
          <w:i/>
          <w:lang w:val="en-US" w:eastAsia="ja-JP"/>
        </w:rPr>
        <w:t xml:space="preserve"> higher than </w:t>
      </w:r>
      <w:r>
        <w:rPr>
          <w:rFonts w:eastAsia="Times New Roman"/>
          <w:b/>
          <w:i/>
          <w:lang w:val="en-US" w:eastAsia="ja-JP"/>
        </w:rPr>
        <w:t xml:space="preserve">that for </w:t>
      </w:r>
      <w:r w:rsidRPr="00A24915">
        <w:rPr>
          <w:rFonts w:eastAsia="Times New Roman"/>
          <w:b/>
          <w:i/>
          <w:lang w:val="en-US" w:eastAsia="ja-JP"/>
        </w:rPr>
        <w:t xml:space="preserve">DL </w:t>
      </w:r>
      <w:r>
        <w:rPr>
          <w:rFonts w:eastAsia="Times New Roman"/>
          <w:b/>
          <w:i/>
          <w:lang w:val="en-US" w:eastAsia="ja-JP"/>
        </w:rPr>
        <w:t>transmission.</w:t>
      </w:r>
    </w:p>
    <w:p w:rsidR="0093463B" w:rsidRPr="0093463B" w:rsidRDefault="0093463B" w:rsidP="0093463B">
      <w:pPr>
        <w:spacing w:after="120"/>
        <w:jc w:val="both"/>
        <w:rPr>
          <w:lang w:eastAsia="ko-KR"/>
        </w:rPr>
      </w:pPr>
      <w:r w:rsidRPr="00A24915">
        <w:rPr>
          <w:rFonts w:eastAsia="Times New Roman"/>
          <w:b/>
          <w:i/>
          <w:lang w:val="en-US" w:eastAsia="ja-JP"/>
        </w:rPr>
        <w:t>Proposal</w:t>
      </w:r>
      <w:r>
        <w:rPr>
          <w:rFonts w:eastAsia="Times New Roman"/>
          <w:b/>
          <w:i/>
          <w:lang w:val="en-US" w:eastAsia="ja-JP"/>
        </w:rPr>
        <w:t xml:space="preserve"> 2</w:t>
      </w:r>
      <w:r w:rsidRPr="00A24915">
        <w:rPr>
          <w:rFonts w:eastAsia="Times New Roman"/>
          <w:b/>
          <w:i/>
          <w:lang w:val="en-US" w:eastAsia="ja-JP"/>
        </w:rPr>
        <w:t xml:space="preserve">: The UE is to be configured with two PDCCH monitoring configurations where the secondary configuration has more PDCCH monitoring occasions and </w:t>
      </w:r>
      <w:r>
        <w:rPr>
          <w:rFonts w:eastAsia="Times New Roman"/>
          <w:b/>
          <w:i/>
          <w:lang w:val="en-US" w:eastAsia="ja-JP"/>
        </w:rPr>
        <w:t>it</w:t>
      </w:r>
      <w:r w:rsidRPr="00A24915">
        <w:rPr>
          <w:rFonts w:eastAsia="Times New Roman"/>
          <w:b/>
          <w:i/>
          <w:lang w:val="en-US" w:eastAsia="ja-JP"/>
        </w:rPr>
        <w:t xml:space="preserve"> is triggered when the SR is transmitted.</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93463B">
      <w:pPr>
        <w:numPr>
          <w:ilvl w:val="0"/>
          <w:numId w:val="2"/>
        </w:numPr>
        <w:spacing w:after="0"/>
        <w:ind w:left="357" w:hanging="357"/>
        <w:rPr>
          <w:lang w:val="en-US" w:eastAsia="zh-TW"/>
        </w:rPr>
      </w:pPr>
      <w:bookmarkStart w:id="9" w:name="_Ref481672677"/>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0" w:name="_Ref484783556"/>
      <w:bookmarkStart w:id="11" w:name="_Ref485328467"/>
      <w:bookmarkEnd w:id="9"/>
    </w:p>
    <w:p w:rsidR="00105900" w:rsidRDefault="00105900" w:rsidP="0093463B">
      <w:pPr>
        <w:pStyle w:val="ListParagraph"/>
        <w:numPr>
          <w:ilvl w:val="0"/>
          <w:numId w:val="2"/>
        </w:numPr>
        <w:spacing w:after="0"/>
        <w:ind w:left="357" w:hanging="357"/>
        <w:rPr>
          <w:lang w:val="en-US" w:eastAsia="zh-TW"/>
        </w:rPr>
      </w:pPr>
      <w:bookmarkStart w:id="12" w:name="_Ref525920093"/>
      <w:bookmarkEnd w:id="10"/>
      <w:bookmarkEnd w:id="11"/>
      <w:r w:rsidRPr="00105900">
        <w:rPr>
          <w:lang w:val="en-US" w:eastAsia="zh-TW"/>
        </w:rPr>
        <w:t>R1-</w:t>
      </w:r>
      <w:r w:rsidR="00F70223" w:rsidRPr="00F70223">
        <w:rPr>
          <w:lang w:val="en-US" w:eastAsia="zh-TW"/>
        </w:rPr>
        <w:t xml:space="preserve">1812375 </w:t>
      </w:r>
      <w:r>
        <w:rPr>
          <w:lang w:val="en-US" w:eastAsia="zh-TW"/>
        </w:rPr>
        <w:t>“</w:t>
      </w:r>
      <w:r w:rsidR="00F70223" w:rsidRPr="00F70223">
        <w:rPr>
          <w:lang w:val="en-US" w:eastAsia="zh-TW"/>
        </w:rPr>
        <w:t>Evaluation and enhancement of NR PUCCH</w:t>
      </w:r>
      <w:r w:rsidRPr="00105900">
        <w:rPr>
          <w:lang w:val="en-US" w:eastAsia="zh-TW"/>
        </w:rPr>
        <w:t xml:space="preserve">”, </w:t>
      </w:r>
      <w:r>
        <w:rPr>
          <w:lang w:val="en-US" w:eastAsia="zh-TW"/>
        </w:rPr>
        <w:t>MediaTek</w:t>
      </w:r>
      <w:r w:rsidRPr="00105900">
        <w:rPr>
          <w:lang w:val="en-US" w:eastAsia="zh-TW"/>
        </w:rPr>
        <w:t>, RAN1#9</w:t>
      </w:r>
      <w:r w:rsidR="00F70223">
        <w:rPr>
          <w:lang w:val="en-US" w:eastAsia="zh-TW"/>
        </w:rPr>
        <w:t>5</w:t>
      </w:r>
      <w:r w:rsidRPr="00105900">
        <w:rPr>
          <w:lang w:val="en-US" w:eastAsia="zh-TW"/>
        </w:rPr>
        <w:t xml:space="preserve">, </w:t>
      </w:r>
      <w:r w:rsidR="00F70223" w:rsidRPr="00F70223">
        <w:rPr>
          <w:lang w:val="en-US" w:eastAsia="zh-TW"/>
        </w:rPr>
        <w:t>Spokane, USA</w:t>
      </w:r>
      <w:r w:rsidRPr="00105900">
        <w:rPr>
          <w:lang w:val="en-US" w:eastAsia="zh-TW"/>
        </w:rPr>
        <w:t>, 2018.</w:t>
      </w:r>
      <w:bookmarkEnd w:id="12"/>
    </w:p>
    <w:p w:rsidR="00056A3E" w:rsidRDefault="00605E5F" w:rsidP="0093463B">
      <w:pPr>
        <w:pStyle w:val="ListParagraph"/>
        <w:numPr>
          <w:ilvl w:val="0"/>
          <w:numId w:val="2"/>
        </w:numPr>
        <w:spacing w:after="0"/>
        <w:ind w:left="357" w:hanging="357"/>
        <w:rPr>
          <w:lang w:val="en-US" w:eastAsia="zh-TW"/>
        </w:rPr>
      </w:pPr>
      <w:bookmarkStart w:id="13" w:name="_Ref528951969"/>
      <w:r w:rsidRPr="00605E5F">
        <w:rPr>
          <w:lang w:val="en-US" w:eastAsia="zh-TW"/>
        </w:rPr>
        <w:t xml:space="preserve">R1-1812379 </w:t>
      </w:r>
      <w:r w:rsidR="00056A3E">
        <w:rPr>
          <w:lang w:val="en-US" w:eastAsia="zh-TW"/>
        </w:rPr>
        <w:t>“</w:t>
      </w:r>
      <w:r w:rsidRPr="00605E5F">
        <w:rPr>
          <w:lang w:val="en-US" w:eastAsia="zh-TW"/>
        </w:rPr>
        <w:t>Study and evaluation of configured-grant enhancements for URLLC</w:t>
      </w:r>
      <w:r w:rsidR="00056A3E" w:rsidRPr="00105900">
        <w:rPr>
          <w:lang w:val="en-US" w:eastAsia="zh-TW"/>
        </w:rPr>
        <w:t xml:space="preserve">”, </w:t>
      </w:r>
      <w:r w:rsidR="00056A3E">
        <w:rPr>
          <w:lang w:val="en-US" w:eastAsia="zh-TW"/>
        </w:rPr>
        <w:t>MediaTek</w:t>
      </w:r>
      <w:r w:rsidR="00056A3E" w:rsidRPr="00105900">
        <w:rPr>
          <w:lang w:val="en-US" w:eastAsia="zh-TW"/>
        </w:rPr>
        <w:t>, RAN1#9</w:t>
      </w:r>
      <w:r w:rsidR="00056A3E">
        <w:rPr>
          <w:lang w:val="en-US" w:eastAsia="zh-TW"/>
        </w:rPr>
        <w:t>5</w:t>
      </w:r>
      <w:r w:rsidR="00056A3E" w:rsidRPr="00105900">
        <w:rPr>
          <w:lang w:val="en-US" w:eastAsia="zh-TW"/>
        </w:rPr>
        <w:t xml:space="preserve">, </w:t>
      </w:r>
      <w:r w:rsidR="00056A3E" w:rsidRPr="00F70223">
        <w:rPr>
          <w:lang w:val="en-US" w:eastAsia="zh-TW"/>
        </w:rPr>
        <w:t>Spokane, USA</w:t>
      </w:r>
      <w:r w:rsidR="00056A3E" w:rsidRPr="00105900">
        <w:rPr>
          <w:lang w:val="en-US" w:eastAsia="zh-TW"/>
        </w:rPr>
        <w:t>, 2018.</w:t>
      </w:r>
      <w:bookmarkEnd w:id="13"/>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D13C9" w:rsidRDefault="009D13C9" w:rsidP="009D13C9">
      <w:pPr>
        <w:pStyle w:val="Heading1"/>
        <w:numPr>
          <w:ilvl w:val="0"/>
          <w:numId w:val="0"/>
        </w:numPr>
      </w:pPr>
      <w:bookmarkStart w:id="14" w:name="_Ref521334897"/>
      <w:bookmarkStart w:id="15" w:name="_Ref528952063"/>
      <w:r w:rsidRPr="00D25D32">
        <w:lastRenderedPageBreak/>
        <w:t xml:space="preserve">Appendix </w:t>
      </w:r>
      <w:bookmarkEnd w:id="14"/>
      <w:r w:rsidR="00F927F8">
        <w:t>A</w:t>
      </w:r>
      <w:bookmarkEnd w:id="15"/>
    </w:p>
    <w:p w:rsidR="009D13C9" w:rsidRPr="00FA623B" w:rsidRDefault="009D13C9" w:rsidP="009D13C9">
      <w:pPr>
        <w:pStyle w:val="Caption"/>
        <w:keepNext/>
        <w:jc w:val="center"/>
        <w:rPr>
          <w:b w:val="0"/>
        </w:rPr>
      </w:pPr>
      <w:bookmarkStart w:id="16" w:name="_Ref525545843"/>
      <w:r w:rsidRPr="00FA623B">
        <w:rPr>
          <w:b w:val="0"/>
        </w:rPr>
        <w:t xml:space="preserve">Table </w:t>
      </w:r>
      <w:r w:rsidRPr="00FA623B">
        <w:rPr>
          <w:b w:val="0"/>
        </w:rPr>
        <w:fldChar w:fldCharType="begin"/>
      </w:r>
      <w:r w:rsidRPr="00FA623B">
        <w:rPr>
          <w:b w:val="0"/>
        </w:rPr>
        <w:instrText xml:space="preserve"> SEQ Table \* ARABIC </w:instrText>
      </w:r>
      <w:r w:rsidRPr="00FA623B">
        <w:rPr>
          <w:b w:val="0"/>
        </w:rPr>
        <w:fldChar w:fldCharType="separate"/>
      </w:r>
      <w:r w:rsidR="0093463B">
        <w:rPr>
          <w:b w:val="0"/>
          <w:noProof/>
        </w:rPr>
        <w:t>2</w:t>
      </w:r>
      <w:r w:rsidRPr="00FA623B">
        <w:rPr>
          <w:b w:val="0"/>
        </w:rPr>
        <w:fldChar w:fldCharType="end"/>
      </w:r>
      <w:bookmarkEnd w:id="16"/>
      <w:r w:rsidRPr="00FA623B">
        <w:rPr>
          <w:b w:val="0"/>
        </w:rPr>
        <w:t xml:space="preserve">: Assumptions and parameters for UL/DL </w:t>
      </w:r>
      <w:r>
        <w:rPr>
          <w:b w:val="0"/>
        </w:rPr>
        <w:t>l</w:t>
      </w:r>
      <w:r w:rsidRPr="00FA623B">
        <w:rPr>
          <w:b w:val="0"/>
        </w:rPr>
        <w:t xml:space="preserve">atency </w:t>
      </w:r>
      <w:r>
        <w:rPr>
          <w:b w:val="0"/>
        </w:rPr>
        <w:t>a</w:t>
      </w:r>
      <w:r w:rsidRPr="00FA623B">
        <w:rPr>
          <w:b w:val="0"/>
        </w:rPr>
        <w:t>nalysis</w:t>
      </w:r>
    </w:p>
    <w:tbl>
      <w:tblPr>
        <w:tblStyle w:val="TableGrid"/>
        <w:tblW w:w="0" w:type="auto"/>
        <w:jc w:val="center"/>
        <w:tblLook w:val="04A0" w:firstRow="1" w:lastRow="0" w:firstColumn="1" w:lastColumn="0" w:noHBand="0" w:noVBand="1"/>
      </w:tblPr>
      <w:tblGrid>
        <w:gridCol w:w="3964"/>
        <w:gridCol w:w="1843"/>
      </w:tblGrid>
      <w:tr w:rsidR="009D13C9" w:rsidRPr="00D25D32" w:rsidTr="00B22E81">
        <w:trPr>
          <w:trHeight w:val="227"/>
          <w:jc w:val="center"/>
        </w:trPr>
        <w:tc>
          <w:tcPr>
            <w:tcW w:w="3964" w:type="dxa"/>
          </w:tcPr>
          <w:p w:rsidR="009D13C9" w:rsidRPr="00712046" w:rsidRDefault="009D13C9" w:rsidP="00B22E81">
            <w:pPr>
              <w:spacing w:after="0"/>
              <w:jc w:val="both"/>
            </w:pPr>
            <w:r w:rsidRPr="005F1BFF">
              <w:t>SR periodicity</w:t>
            </w:r>
          </w:p>
        </w:tc>
        <w:tc>
          <w:tcPr>
            <w:tcW w:w="1843" w:type="dxa"/>
          </w:tcPr>
          <w:p w:rsidR="009D13C9" w:rsidRPr="00712046" w:rsidRDefault="009D13C9" w:rsidP="00B22E81">
            <w:pPr>
              <w:spacing w:after="0"/>
              <w:jc w:val="center"/>
            </w:pPr>
            <w:r>
              <w:t>2 OS</w:t>
            </w:r>
          </w:p>
        </w:tc>
      </w:tr>
      <w:tr w:rsidR="009D13C9" w:rsidRPr="00D25D32" w:rsidTr="00B22E81">
        <w:trPr>
          <w:trHeight w:val="227"/>
          <w:jc w:val="center"/>
        </w:trPr>
        <w:tc>
          <w:tcPr>
            <w:tcW w:w="3964" w:type="dxa"/>
          </w:tcPr>
          <w:p w:rsidR="009D13C9" w:rsidRPr="00712046" w:rsidRDefault="009D13C9" w:rsidP="00B22E81">
            <w:pPr>
              <w:spacing w:after="0"/>
              <w:jc w:val="both"/>
            </w:pPr>
            <w:r w:rsidRPr="005F1BFF">
              <w:t>SR duration</w:t>
            </w:r>
          </w:p>
        </w:tc>
        <w:tc>
          <w:tcPr>
            <w:tcW w:w="1843" w:type="dxa"/>
          </w:tcPr>
          <w:p w:rsidR="009D13C9" w:rsidRPr="00712046" w:rsidRDefault="009D13C9" w:rsidP="00B22E81">
            <w:pPr>
              <w:spacing w:after="0"/>
              <w:jc w:val="center"/>
            </w:pPr>
            <w:r>
              <w:t>1 OS</w:t>
            </w:r>
          </w:p>
        </w:tc>
      </w:tr>
      <w:tr w:rsidR="009D13C9" w:rsidRPr="00D25D32" w:rsidTr="00B22E81">
        <w:trPr>
          <w:trHeight w:val="227"/>
          <w:jc w:val="center"/>
        </w:trPr>
        <w:tc>
          <w:tcPr>
            <w:tcW w:w="3964" w:type="dxa"/>
          </w:tcPr>
          <w:p w:rsidR="009D13C9" w:rsidRPr="00712046" w:rsidRDefault="009D13C9" w:rsidP="00B22E81">
            <w:pPr>
              <w:spacing w:after="0"/>
              <w:jc w:val="both"/>
            </w:pPr>
            <w:r w:rsidRPr="005F1BFF">
              <w:t>SR processing</w:t>
            </w:r>
          </w:p>
        </w:tc>
        <w:tc>
          <w:tcPr>
            <w:tcW w:w="1843" w:type="dxa"/>
          </w:tcPr>
          <w:p w:rsidR="009D13C9" w:rsidRPr="00712046" w:rsidRDefault="009D13C9" w:rsidP="00B22E81">
            <w:pPr>
              <w:spacing w:after="0"/>
              <w:jc w:val="center"/>
            </w:pPr>
            <w:r w:rsidRPr="005F1BFF">
              <w:t>SR duration</w:t>
            </w:r>
          </w:p>
        </w:tc>
      </w:tr>
      <w:tr w:rsidR="009D13C9" w:rsidRPr="00D25D32" w:rsidTr="00B22E81">
        <w:trPr>
          <w:trHeight w:val="227"/>
          <w:jc w:val="center"/>
        </w:trPr>
        <w:tc>
          <w:tcPr>
            <w:tcW w:w="3964" w:type="dxa"/>
          </w:tcPr>
          <w:p w:rsidR="009D13C9" w:rsidRPr="00712046" w:rsidRDefault="009D13C9" w:rsidP="00B22E81">
            <w:pPr>
              <w:spacing w:after="0"/>
              <w:jc w:val="both"/>
            </w:pPr>
            <w:r w:rsidRPr="005F1BFF">
              <w:t>UE processing</w:t>
            </w:r>
          </w:p>
        </w:tc>
        <w:tc>
          <w:tcPr>
            <w:tcW w:w="1843" w:type="dxa"/>
          </w:tcPr>
          <w:p w:rsidR="009D13C9" w:rsidRPr="00712046" w:rsidRDefault="009D13C9" w:rsidP="00B22E81">
            <w:pPr>
              <w:spacing w:after="0"/>
            </w:pPr>
            <w:r w:rsidRPr="005F1BFF">
              <w:t>Rel-15 capability 2</w:t>
            </w:r>
          </w:p>
        </w:tc>
      </w:tr>
      <w:tr w:rsidR="009D13C9" w:rsidRPr="00D25D32" w:rsidTr="00B22E81">
        <w:trPr>
          <w:trHeight w:val="227"/>
          <w:jc w:val="center"/>
        </w:trPr>
        <w:tc>
          <w:tcPr>
            <w:tcW w:w="3964" w:type="dxa"/>
          </w:tcPr>
          <w:p w:rsidR="009D13C9" w:rsidRPr="00712046" w:rsidRDefault="009D13C9" w:rsidP="00B22E81">
            <w:pPr>
              <w:spacing w:after="0"/>
              <w:jc w:val="both"/>
            </w:pPr>
            <w:r w:rsidRPr="007426E3">
              <w:t>gNB processing</w:t>
            </w:r>
            <w:r>
              <w:t xml:space="preserve"> for DL</w:t>
            </w:r>
          </w:p>
        </w:tc>
        <w:tc>
          <w:tcPr>
            <w:tcW w:w="1843" w:type="dxa"/>
          </w:tcPr>
          <w:p w:rsidR="009D13C9" w:rsidRPr="00712046" w:rsidRDefault="009D13C9" w:rsidP="00B22E81">
            <w:pPr>
              <w:spacing w:after="0"/>
              <w:jc w:val="center"/>
            </w:pPr>
            <w:r>
              <w:t>N2</w:t>
            </w:r>
          </w:p>
        </w:tc>
      </w:tr>
      <w:tr w:rsidR="009D13C9" w:rsidRPr="00D25D32" w:rsidTr="00B22E81">
        <w:trPr>
          <w:trHeight w:val="227"/>
          <w:jc w:val="center"/>
        </w:trPr>
        <w:tc>
          <w:tcPr>
            <w:tcW w:w="3964" w:type="dxa"/>
          </w:tcPr>
          <w:p w:rsidR="009D13C9" w:rsidRPr="00712046" w:rsidRDefault="009D13C9" w:rsidP="00B22E81">
            <w:pPr>
              <w:spacing w:after="0"/>
              <w:jc w:val="both"/>
            </w:pPr>
            <w:r w:rsidRPr="007426E3">
              <w:t>gNB processing</w:t>
            </w:r>
            <w:r>
              <w:t xml:space="preserve"> for UL</w:t>
            </w:r>
          </w:p>
        </w:tc>
        <w:tc>
          <w:tcPr>
            <w:tcW w:w="1843" w:type="dxa"/>
          </w:tcPr>
          <w:p w:rsidR="009D13C9" w:rsidRPr="00712046" w:rsidRDefault="009D13C9" w:rsidP="00B22E81">
            <w:pPr>
              <w:spacing w:after="0"/>
              <w:jc w:val="center"/>
            </w:pPr>
            <w:r>
              <w:t>N1</w:t>
            </w:r>
          </w:p>
        </w:tc>
      </w:tr>
      <w:tr w:rsidR="009D13C9" w:rsidRPr="00D25D32" w:rsidTr="00B22E81">
        <w:trPr>
          <w:trHeight w:val="227"/>
          <w:jc w:val="center"/>
        </w:trPr>
        <w:tc>
          <w:tcPr>
            <w:tcW w:w="3964" w:type="dxa"/>
          </w:tcPr>
          <w:p w:rsidR="009D13C9" w:rsidRPr="00712046" w:rsidRDefault="009D13C9" w:rsidP="00B22E81">
            <w:pPr>
              <w:spacing w:after="0"/>
              <w:jc w:val="both"/>
            </w:pPr>
            <w:r w:rsidRPr="007426E3">
              <w:t>COREST duration</w:t>
            </w:r>
          </w:p>
        </w:tc>
        <w:tc>
          <w:tcPr>
            <w:tcW w:w="1843" w:type="dxa"/>
          </w:tcPr>
          <w:p w:rsidR="009D13C9" w:rsidRPr="00712046" w:rsidRDefault="009D13C9" w:rsidP="00B22E81">
            <w:pPr>
              <w:spacing w:after="0"/>
              <w:jc w:val="center"/>
            </w:pPr>
            <w:r>
              <w:t>1</w:t>
            </w:r>
          </w:p>
        </w:tc>
      </w:tr>
      <w:tr w:rsidR="009D13C9" w:rsidRPr="00D25D32" w:rsidTr="00B22E81">
        <w:trPr>
          <w:trHeight w:val="227"/>
          <w:jc w:val="center"/>
        </w:trPr>
        <w:tc>
          <w:tcPr>
            <w:tcW w:w="3964" w:type="dxa"/>
          </w:tcPr>
          <w:p w:rsidR="009D13C9" w:rsidRPr="007426E3" w:rsidRDefault="009D13C9" w:rsidP="00B22E81">
            <w:pPr>
              <w:spacing w:after="0"/>
              <w:jc w:val="both"/>
            </w:pPr>
            <w:r w:rsidRPr="00B12EF9">
              <w:t>monitoringSymbolsWithinSlot</w:t>
            </w:r>
          </w:p>
        </w:tc>
        <w:tc>
          <w:tcPr>
            <w:tcW w:w="1843" w:type="dxa"/>
          </w:tcPr>
          <w:p w:rsidR="009D13C9" w:rsidRDefault="009D13C9" w:rsidP="00B22E81">
            <w:pPr>
              <w:spacing w:after="0"/>
              <w:jc w:val="center"/>
            </w:pPr>
            <w:r>
              <w:t>[10001000100010]</w:t>
            </w:r>
          </w:p>
        </w:tc>
      </w:tr>
      <w:tr w:rsidR="009D13C9" w:rsidRPr="00D25D32" w:rsidTr="00B22E81">
        <w:trPr>
          <w:trHeight w:val="227"/>
          <w:jc w:val="center"/>
        </w:trPr>
        <w:tc>
          <w:tcPr>
            <w:tcW w:w="3964" w:type="dxa"/>
          </w:tcPr>
          <w:p w:rsidR="009D13C9" w:rsidRPr="00712046" w:rsidRDefault="009D13C9" w:rsidP="00B22E81">
            <w:pPr>
              <w:spacing w:after="0"/>
              <w:jc w:val="both"/>
            </w:pPr>
            <w:r w:rsidRPr="007426E3">
              <w:t>PUSCH duration</w:t>
            </w:r>
          </w:p>
        </w:tc>
        <w:tc>
          <w:tcPr>
            <w:tcW w:w="1843" w:type="dxa"/>
          </w:tcPr>
          <w:p w:rsidR="009D13C9" w:rsidRPr="00712046" w:rsidRDefault="009D13C9" w:rsidP="00B22E81">
            <w:pPr>
              <w:spacing w:after="0"/>
              <w:jc w:val="center"/>
            </w:pPr>
            <w:r>
              <w:t>2</w:t>
            </w:r>
          </w:p>
        </w:tc>
      </w:tr>
      <w:tr w:rsidR="009D13C9" w:rsidRPr="00367086" w:rsidTr="00B22E81">
        <w:trPr>
          <w:trHeight w:val="227"/>
          <w:jc w:val="center"/>
        </w:trPr>
        <w:tc>
          <w:tcPr>
            <w:tcW w:w="3964" w:type="dxa"/>
          </w:tcPr>
          <w:p w:rsidR="009D13C9" w:rsidRPr="00712046" w:rsidRDefault="009D13C9" w:rsidP="00B22E81">
            <w:pPr>
              <w:spacing w:after="0"/>
            </w:pPr>
            <w:r w:rsidRPr="007426E3">
              <w:t>PDSCH duration</w:t>
            </w:r>
          </w:p>
        </w:tc>
        <w:tc>
          <w:tcPr>
            <w:tcW w:w="1843" w:type="dxa"/>
          </w:tcPr>
          <w:p w:rsidR="009D13C9" w:rsidRPr="00712046" w:rsidRDefault="009D13C9" w:rsidP="00B22E81">
            <w:pPr>
              <w:spacing w:after="0"/>
              <w:jc w:val="center"/>
            </w:pPr>
            <w:r>
              <w:t>2</w:t>
            </w:r>
          </w:p>
        </w:tc>
      </w:tr>
      <w:tr w:rsidR="009D13C9" w:rsidRPr="00D25D32" w:rsidTr="00B22E81">
        <w:trPr>
          <w:trHeight w:val="227"/>
          <w:jc w:val="center"/>
        </w:trPr>
        <w:tc>
          <w:tcPr>
            <w:tcW w:w="3964" w:type="dxa"/>
          </w:tcPr>
          <w:p w:rsidR="009D13C9" w:rsidRPr="00712046" w:rsidRDefault="009D13C9" w:rsidP="00B22E81">
            <w:pPr>
              <w:spacing w:after="0"/>
              <w:rPr>
                <w:rFonts w:eastAsia="Times New Roman"/>
                <w:bCs/>
                <w:i/>
                <w:color w:val="000000"/>
                <w:lang w:val="en-US"/>
              </w:rPr>
            </w:pPr>
            <w:r w:rsidRPr="007426E3">
              <w:t>SCS</w:t>
            </w:r>
          </w:p>
        </w:tc>
        <w:tc>
          <w:tcPr>
            <w:tcW w:w="1843" w:type="dxa"/>
          </w:tcPr>
          <w:p w:rsidR="009D13C9" w:rsidRPr="00712046" w:rsidRDefault="009D13C9" w:rsidP="00B22E81">
            <w:pPr>
              <w:spacing w:after="0"/>
              <w:jc w:val="center"/>
            </w:pPr>
            <w:r>
              <w:t>15kHz</w:t>
            </w:r>
          </w:p>
        </w:tc>
      </w:tr>
    </w:tbl>
    <w:p w:rsidR="009D13C9" w:rsidRPr="009D13C9" w:rsidRDefault="009D13C9" w:rsidP="009D13C9">
      <w:pPr>
        <w:rPr>
          <w:lang w:val="en-US" w:eastAsia="zh-TW"/>
        </w:rPr>
      </w:pPr>
    </w:p>
    <w:sectPr w:rsidR="009D13C9" w:rsidRPr="009D13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843" w:rsidRDefault="00067843">
      <w:r>
        <w:separator/>
      </w:r>
    </w:p>
  </w:endnote>
  <w:endnote w:type="continuationSeparator" w:id="0">
    <w:p w:rsidR="00067843" w:rsidRDefault="0006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843" w:rsidRDefault="00067843">
      <w:r>
        <w:separator/>
      </w:r>
    </w:p>
  </w:footnote>
  <w:footnote w:type="continuationSeparator" w:id="0">
    <w:p w:rsidR="00067843" w:rsidRDefault="000678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E04743"/>
    <w:multiLevelType w:val="hybridMultilevel"/>
    <w:tmpl w:val="336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12"/>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7"/>
    <w:lvlOverride w:ilvl="0">
      <w:startOverride w:val="2"/>
    </w:lvlOverride>
  </w:num>
  <w:num w:numId="11">
    <w:abstractNumId w:val="4"/>
  </w:num>
  <w:num w:numId="12">
    <w:abstractNumId w:val="11"/>
  </w:num>
  <w:num w:numId="13">
    <w:abstractNumId w:val="0"/>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6A3E"/>
    <w:rsid w:val="00057DC0"/>
    <w:rsid w:val="000646D3"/>
    <w:rsid w:val="00065840"/>
    <w:rsid w:val="0006663D"/>
    <w:rsid w:val="000672B2"/>
    <w:rsid w:val="0006733D"/>
    <w:rsid w:val="00067506"/>
    <w:rsid w:val="00067843"/>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E5F"/>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B44"/>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6AE5"/>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BCD"/>
    <w:rsid w:val="00A32693"/>
    <w:rsid w:val="00A34751"/>
    <w:rsid w:val="00A35544"/>
    <w:rsid w:val="00A35C04"/>
    <w:rsid w:val="00A3788E"/>
    <w:rsid w:val="00A37EB2"/>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C44"/>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0FFA"/>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656"/>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7F8"/>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Invitation/"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29220BE-01AB-492B-A9E4-C7386973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2728</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9783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149</cp:revision>
  <cp:lastPrinted>2017-05-05T16:44:00Z</cp:lastPrinted>
  <dcterms:created xsi:type="dcterms:W3CDTF">2017-09-08T17:07:00Z</dcterms:created>
  <dcterms:modified xsi:type="dcterms:W3CDTF">2018-11-02T20:20:00Z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